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6DAB0" w14:textId="77777777" w:rsidR="00F20426" w:rsidRPr="001B1C92" w:rsidRDefault="00F20426" w:rsidP="00F20426">
      <w:pPr>
        <w:pStyle w:val="NormalWeb"/>
        <w:spacing w:before="0" w:beforeAutospacing="0" w:after="200" w:afterAutospacing="0" w:line="271" w:lineRule="auto"/>
        <w:rPr>
          <w:rFonts w:asciiTheme="minorHAnsi" w:eastAsiaTheme="minorEastAsia" w:hAnsiTheme="minorHAnsi" w:cstheme="minorBidi"/>
          <w:b/>
          <w:bCs/>
          <w:sz w:val="28"/>
          <w:szCs w:val="28"/>
          <w:lang w:bidi="ar-SA"/>
        </w:rPr>
      </w:pPr>
      <w:bookmarkStart w:id="0" w:name="_GoBack"/>
      <w:bookmarkEnd w:id="0"/>
      <w:r w:rsidRPr="001B1C92">
        <w:rPr>
          <w:rFonts w:asciiTheme="minorHAnsi" w:eastAsiaTheme="minorEastAsia" w:hAnsiTheme="minorHAnsi" w:cstheme="minorBidi"/>
          <w:b/>
          <w:bCs/>
          <w:sz w:val="28"/>
          <w:szCs w:val="28"/>
          <w:lang w:bidi="ar-SA"/>
        </w:rPr>
        <w:t>Dow partners with SCG to sustainably tackle plastic waste by developing recycling and renewable solutions to build the circular plastic economy</w:t>
      </w:r>
    </w:p>
    <w:p w14:paraId="0150FF9B" w14:textId="77777777" w:rsidR="00F20426" w:rsidRPr="001B1C92" w:rsidRDefault="00F20426" w:rsidP="00F20426">
      <w:pPr>
        <w:pStyle w:val="NormalWeb"/>
        <w:spacing w:before="0" w:beforeAutospacing="0" w:after="200" w:afterAutospacing="0" w:line="271" w:lineRule="auto"/>
        <w:rPr>
          <w:rFonts w:asciiTheme="minorHAnsi" w:eastAsiaTheme="minorEastAsia" w:hAnsiTheme="minorHAnsi" w:cstheme="minorBidi"/>
          <w:b/>
          <w:bCs/>
          <w:lang w:bidi="ar-SA"/>
        </w:rPr>
      </w:pPr>
    </w:p>
    <w:p w14:paraId="01206B68" w14:textId="77777777" w:rsidR="00F20426" w:rsidRPr="001B1C92" w:rsidRDefault="00F20426" w:rsidP="00F20426">
      <w:pPr>
        <w:pStyle w:val="NormalWeb"/>
        <w:spacing w:before="0" w:beforeAutospacing="0" w:after="200" w:afterAutospacing="0" w:line="271" w:lineRule="auto"/>
        <w:rPr>
          <w:rFonts w:asciiTheme="minorHAnsi" w:hAnsiTheme="minorHAnsi" w:cstheme="minorHAnsi"/>
          <w:sz w:val="22"/>
          <w:szCs w:val="22"/>
        </w:rPr>
      </w:pPr>
      <w:r w:rsidRPr="001B1C92">
        <w:rPr>
          <w:rFonts w:asciiTheme="minorHAnsi" w:hAnsiTheme="minorHAnsi"/>
          <w:b/>
          <w:sz w:val="22"/>
          <w:szCs w:val="22"/>
        </w:rPr>
        <w:t>BANGKOK – September 6, 2019 –</w:t>
      </w:r>
      <w:r w:rsidRPr="001B1C92">
        <w:rPr>
          <w:rFonts w:asciiTheme="minorHAnsi" w:hAnsiTheme="minorHAnsi"/>
          <w:sz w:val="22"/>
          <w:szCs w:val="22"/>
        </w:rPr>
        <w:t xml:space="preserve"> Dow and SCG </w:t>
      </w:r>
      <w:r w:rsidRPr="001B1C92">
        <w:rPr>
          <w:rFonts w:asciiTheme="minorHAnsi" w:hAnsiTheme="minorHAnsi" w:cstheme="minorHAnsi"/>
          <w:sz w:val="22"/>
          <w:szCs w:val="22"/>
        </w:rPr>
        <w:t>today signed a collaboration agreement to develop new complete recycling solutions to add value to plastic waste and prevent them from ending up in the environment. This agreement is an attempt to create a circular economy for plastic in Thailand.</w:t>
      </w:r>
    </w:p>
    <w:p w14:paraId="53C5239C" w14:textId="77777777" w:rsidR="00F20426" w:rsidRPr="001B1C92" w:rsidRDefault="00F20426" w:rsidP="00F20426">
      <w:pPr>
        <w:pStyle w:val="LetterBody"/>
        <w:tabs>
          <w:tab w:val="left" w:pos="1740"/>
        </w:tabs>
        <w:spacing w:after="200" w:line="271" w:lineRule="auto"/>
        <w:rPr>
          <w:rFonts w:asciiTheme="minorHAnsi" w:hAnsiTheme="minorHAnsi"/>
          <w:sz w:val="22"/>
          <w:szCs w:val="22"/>
        </w:rPr>
      </w:pPr>
      <w:r w:rsidRPr="001B1C92">
        <w:rPr>
          <w:rFonts w:asciiTheme="minorHAnsi" w:hAnsiTheme="minorHAnsi"/>
          <w:sz w:val="22"/>
          <w:szCs w:val="22"/>
        </w:rPr>
        <w:t xml:space="preserve">“Our industry and society as a whole must do a better job of capturing and reusing plastic by scaling investments in collection, waste management, recycling technologies and new end-markets,” said </w:t>
      </w:r>
      <w:hyperlink r:id="rId11" w:history="1">
        <w:r w:rsidRPr="001B1C92">
          <w:rPr>
            <w:rStyle w:val="Hyperlink"/>
            <w:rFonts w:asciiTheme="minorHAnsi" w:hAnsiTheme="minorHAnsi"/>
            <w:color w:val="auto"/>
            <w:sz w:val="22"/>
            <w:szCs w:val="22"/>
          </w:rPr>
          <w:t>Jim Fitterling</w:t>
        </w:r>
      </w:hyperlink>
      <w:r w:rsidRPr="001B1C92">
        <w:rPr>
          <w:rFonts w:asciiTheme="minorHAnsi" w:hAnsiTheme="minorHAnsi"/>
          <w:sz w:val="22"/>
          <w:szCs w:val="22"/>
        </w:rPr>
        <w:t xml:space="preserve">, chief executive officer of Dow. “Dow continues to join forces with partners across the globe to more effectively reuse and recycle plastic waste. Working together with companies like SCG we can create a world where no plastic ends up in the environment.” </w:t>
      </w:r>
    </w:p>
    <w:p w14:paraId="4CF405AB" w14:textId="77777777" w:rsidR="00F20426" w:rsidRPr="001B1C92" w:rsidRDefault="00F20426"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The agreement was signed today upon the shared vision to close the loop of plastics waste management for the reduction of plastic leakage to the environment.</w:t>
      </w:r>
    </w:p>
    <w:p w14:paraId="3844861C" w14:textId="1B4347F7" w:rsidR="005E5767" w:rsidRPr="001B1C92" w:rsidRDefault="005E5767"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The products anticipated from this collaboration are outputs of mechanical recycling, feedstock recycling as well as renewable feedstock which include but are not limited to recycled resin, recycled products made from plastic waste, petrochemical feedstocks from plastic waste and renewable plastic resins.</w:t>
      </w:r>
    </w:p>
    <w:p w14:paraId="7C1CF487" w14:textId="13FE8CFD" w:rsidR="00F20426" w:rsidRPr="001B1C92" w:rsidRDefault="00F20426"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“This collaboration not only represents our joint commitment in taki</w:t>
      </w:r>
      <w:r w:rsidR="00C92C3A">
        <w:rPr>
          <w:rFonts w:asciiTheme="minorHAnsi" w:hAnsiTheme="minorHAnsi"/>
          <w:sz w:val="22"/>
          <w:szCs w:val="22"/>
        </w:rPr>
        <w:t xml:space="preserve">ng action to solve the problems </w:t>
      </w:r>
      <w:r w:rsidRPr="001B1C92">
        <w:rPr>
          <w:rFonts w:asciiTheme="minorHAnsi" w:hAnsiTheme="minorHAnsi"/>
          <w:sz w:val="22"/>
          <w:szCs w:val="22"/>
        </w:rPr>
        <w:t xml:space="preserve">through technology and making real changes but also provides us with new business opportunity, enhancing sustainability and bringing about practical solutions for recycling and upcycling of plastic waste in Thailand.” said </w:t>
      </w:r>
      <w:proofErr w:type="spellStart"/>
      <w:r w:rsidRPr="001B1C92">
        <w:rPr>
          <w:rFonts w:asciiTheme="minorHAnsi" w:hAnsiTheme="minorHAnsi"/>
          <w:sz w:val="22"/>
          <w:szCs w:val="22"/>
        </w:rPr>
        <w:t>Roongrote</w:t>
      </w:r>
      <w:proofErr w:type="spellEnd"/>
      <w:r w:rsidRPr="001B1C92">
        <w:rPr>
          <w:rFonts w:asciiTheme="minorHAnsi" w:hAnsiTheme="minorHAnsi"/>
          <w:sz w:val="22"/>
          <w:szCs w:val="22"/>
        </w:rPr>
        <w:t xml:space="preserve"> </w:t>
      </w:r>
      <w:proofErr w:type="spellStart"/>
      <w:r w:rsidRPr="001B1C92">
        <w:rPr>
          <w:rFonts w:asciiTheme="minorHAnsi" w:hAnsiTheme="minorHAnsi"/>
          <w:sz w:val="22"/>
          <w:szCs w:val="22"/>
        </w:rPr>
        <w:t>Rangsiyopash</w:t>
      </w:r>
      <w:proofErr w:type="spellEnd"/>
      <w:r w:rsidRPr="001B1C92">
        <w:rPr>
          <w:rFonts w:asciiTheme="minorHAnsi" w:hAnsiTheme="minorHAnsi"/>
          <w:sz w:val="22"/>
          <w:szCs w:val="22"/>
        </w:rPr>
        <w:t xml:space="preserve">, </w:t>
      </w:r>
      <w:r w:rsidR="00C92C3A">
        <w:rPr>
          <w:rFonts w:asciiTheme="minorHAnsi" w:hAnsiTheme="minorHAnsi"/>
          <w:sz w:val="22"/>
          <w:szCs w:val="22"/>
          <w:lang w:bidi="th-TH"/>
        </w:rPr>
        <w:t>P</w:t>
      </w:r>
      <w:r w:rsidRPr="001B1C92">
        <w:rPr>
          <w:rFonts w:asciiTheme="minorHAnsi" w:hAnsiTheme="minorHAnsi"/>
          <w:sz w:val="22"/>
          <w:szCs w:val="22"/>
        </w:rPr>
        <w:t xml:space="preserve">resident and </w:t>
      </w:r>
      <w:r w:rsidR="008573B4">
        <w:rPr>
          <w:rFonts w:asciiTheme="minorHAnsi" w:hAnsiTheme="minorHAnsi"/>
          <w:sz w:val="22"/>
          <w:szCs w:val="22"/>
        </w:rPr>
        <w:t>CEO</w:t>
      </w:r>
      <w:r w:rsidRPr="001B1C92">
        <w:rPr>
          <w:rFonts w:asciiTheme="minorHAnsi" w:hAnsiTheme="minorHAnsi"/>
          <w:sz w:val="22"/>
          <w:szCs w:val="22"/>
        </w:rPr>
        <w:t xml:space="preserve"> of SCG. </w:t>
      </w:r>
    </w:p>
    <w:p w14:paraId="7DDDDAF9" w14:textId="77777777" w:rsidR="00F20426" w:rsidRPr="001B1C92" w:rsidRDefault="00F20426"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 xml:space="preserve">“Circular economy is an economic opportunity as much as a solution to a pressing environmental issue,” said </w:t>
      </w:r>
      <w:r w:rsidRPr="001B1C92">
        <w:rPr>
          <w:rFonts w:asciiTheme="minorHAnsi" w:hAnsiTheme="minorHAnsi"/>
          <w:bCs/>
          <w:sz w:val="22"/>
          <w:szCs w:val="22"/>
        </w:rPr>
        <w:t>Jonathan Penrice</w:t>
      </w:r>
      <w:r w:rsidRPr="001B1C92">
        <w:rPr>
          <w:rFonts w:asciiTheme="minorHAnsi" w:hAnsiTheme="minorHAnsi"/>
          <w:sz w:val="22"/>
          <w:szCs w:val="22"/>
        </w:rPr>
        <w:t>,</w:t>
      </w:r>
      <w:r w:rsidRPr="001B1C92">
        <w:rPr>
          <w:rFonts w:asciiTheme="minorHAnsi" w:hAnsiTheme="minorHAnsi"/>
          <w:bCs/>
          <w:sz w:val="22"/>
          <w:szCs w:val="22"/>
        </w:rPr>
        <w:t xml:space="preserve"> president of Dow in Asia Pacific.</w:t>
      </w:r>
      <w:r w:rsidRPr="001B1C92">
        <w:rPr>
          <w:rFonts w:asciiTheme="minorHAnsi" w:hAnsiTheme="minorHAnsi"/>
          <w:sz w:val="22"/>
          <w:szCs w:val="22"/>
        </w:rPr>
        <w:t xml:space="preserve"> “We will build on Dow’s unique materials science and application knowledge and our 50-year experience in Thailand to develop solutions that maximize the value of plastics in the country.”</w:t>
      </w:r>
    </w:p>
    <w:p w14:paraId="61F04671" w14:textId="394AD25C" w:rsidR="005E5767" w:rsidRPr="001B1C92" w:rsidRDefault="005E5767"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This collaboration is aligned with the Thai government’s ambition to drastically increase the recycling rate of plastic waste in the country by 2027. Plastic waste in the environment is considered a critical environmental issue which Dow and SCG have innovated around in the past, such as developing certain technologies to incorporate materials derived from transformed plastic waste in polymer modified asphalt roads. This solution will add value to low or no value plastic waste such as multi-layer plastic packaging and contaminated plastic waste.</w:t>
      </w:r>
    </w:p>
    <w:p w14:paraId="2AA110BD" w14:textId="77777777" w:rsidR="005E5767" w:rsidRPr="001B1C92" w:rsidRDefault="005E5767"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lastRenderedPageBreak/>
        <w:t>Most businesses today operate a linear system, whereby natural resources are extracted, transformed into products, and eventually disposed of. A circular economy, on the other hand, is aimed to reuse, renew and recycle valuable resources thereby reducing environmental impact.</w:t>
      </w:r>
    </w:p>
    <w:p w14:paraId="376AA7ED" w14:textId="000BFEE7" w:rsidR="00F20426" w:rsidRPr="001B1C92" w:rsidRDefault="00F20426" w:rsidP="00F20426">
      <w:pPr>
        <w:pStyle w:val="LetterBody"/>
        <w:spacing w:after="200" w:line="271" w:lineRule="auto"/>
        <w:rPr>
          <w:rFonts w:asciiTheme="minorHAnsi" w:hAnsiTheme="minorHAnsi"/>
          <w:sz w:val="22"/>
          <w:szCs w:val="22"/>
        </w:rPr>
      </w:pPr>
      <w:r w:rsidRPr="001B1C92">
        <w:rPr>
          <w:rFonts w:asciiTheme="minorHAnsi" w:hAnsiTheme="minorHAnsi"/>
          <w:sz w:val="22"/>
          <w:szCs w:val="22"/>
        </w:rPr>
        <w:t xml:space="preserve">Dow and SCG are founding members of the </w:t>
      </w:r>
      <w:hyperlink r:id="rId12" w:history="1">
        <w:r w:rsidRPr="001B1C92">
          <w:rPr>
            <w:rStyle w:val="Hyperlink"/>
            <w:rFonts w:asciiTheme="minorHAnsi" w:hAnsiTheme="minorHAnsi"/>
            <w:color w:val="auto"/>
            <w:sz w:val="22"/>
            <w:szCs w:val="22"/>
          </w:rPr>
          <w:t>Alliance to End Plastic Waste</w:t>
        </w:r>
      </w:hyperlink>
      <w:r w:rsidRPr="001B1C92">
        <w:rPr>
          <w:rFonts w:asciiTheme="minorHAnsi" w:hAnsiTheme="minorHAnsi"/>
          <w:sz w:val="22"/>
          <w:szCs w:val="22"/>
        </w:rPr>
        <w:t xml:space="preserve">, a not-for-profit organization, partnering with the finance community, government and civil society, including environmental and economic development NGOs to make the dream of a world without plastic waste a reality. </w:t>
      </w:r>
    </w:p>
    <w:p w14:paraId="11B90066" w14:textId="77777777" w:rsidR="00F20426" w:rsidRDefault="00F20426" w:rsidP="00E60E8C">
      <w:pPr>
        <w:autoSpaceDE w:val="0"/>
        <w:autoSpaceDN w:val="0"/>
        <w:spacing w:after="0" w:line="240" w:lineRule="auto"/>
        <w:rPr>
          <w:b/>
          <w:color w:val="415364" w:themeColor="text2"/>
        </w:rPr>
      </w:pPr>
    </w:p>
    <w:p w14:paraId="61B8C223" w14:textId="77777777" w:rsidR="0061155B" w:rsidRPr="006A1FF7" w:rsidRDefault="0061155B" w:rsidP="00E60E8C">
      <w:pPr>
        <w:autoSpaceDE w:val="0"/>
        <w:autoSpaceDN w:val="0"/>
        <w:spacing w:after="0" w:line="240" w:lineRule="auto"/>
        <w:rPr>
          <w:color w:val="415364" w:themeColor="text2"/>
          <w:sz w:val="18"/>
          <w:szCs w:val="18"/>
        </w:rPr>
      </w:pPr>
      <w:r w:rsidRPr="006A1FF7">
        <w:rPr>
          <w:b/>
          <w:color w:val="415364" w:themeColor="text2"/>
          <w:sz w:val="18"/>
          <w:szCs w:val="18"/>
        </w:rPr>
        <w:t>About Dow</w:t>
      </w:r>
    </w:p>
    <w:p w14:paraId="07FCB027" w14:textId="77777777" w:rsidR="00B45A4E" w:rsidRPr="006A1FF7" w:rsidRDefault="0061155B" w:rsidP="00E60E8C">
      <w:pPr>
        <w:pStyle w:val="LetterBody"/>
        <w:spacing w:line="240" w:lineRule="auto"/>
        <w:rPr>
          <w:rFonts w:asciiTheme="minorHAnsi" w:hAnsiTheme="minorHAnsi"/>
          <w:color w:val="415364" w:themeColor="text2"/>
          <w:sz w:val="18"/>
          <w:szCs w:val="18"/>
        </w:rPr>
      </w:pPr>
      <w:r w:rsidRPr="006A1FF7">
        <w:rPr>
          <w:rFonts w:asciiTheme="minorHAnsi" w:hAnsiTheme="minorHAnsi"/>
          <w:color w:val="415364" w:themeColor="text2"/>
          <w:sz w:val="18"/>
          <w:szCs w:val="18"/>
        </w:rPr>
        <w:t xml:space="preserve">Dow (NYSE: DOW) combines one of the broadest technology sets in the industry with asset integration, focused innovation and global scale to achieve profitable growth and become the most innovative, customer centric, inclusive and sustainable materials science company. Dow’s portfolio of performance materials, industrial intermediates and plastics businesses delivers a broad range of differentiated science-based products and solutions for our customers in high-growth segments, such as packaging, infrastructure and consumer care. Dow operates 113 manufacturing sites in 31 countries and employs approximately 37,000 people. Dow delivered pro </w:t>
      </w:r>
      <w:r w:rsidR="00BE4625" w:rsidRPr="006A1FF7">
        <w:rPr>
          <w:rFonts w:asciiTheme="minorHAnsi" w:hAnsiTheme="minorHAnsi"/>
          <w:color w:val="415364" w:themeColor="text2"/>
          <w:sz w:val="18"/>
          <w:szCs w:val="18"/>
        </w:rPr>
        <w:t>forma sales of approximately $50</w:t>
      </w:r>
      <w:r w:rsidRPr="006A1FF7">
        <w:rPr>
          <w:rFonts w:asciiTheme="minorHAnsi" w:hAnsiTheme="minorHAnsi"/>
          <w:color w:val="415364" w:themeColor="text2"/>
          <w:sz w:val="18"/>
          <w:szCs w:val="18"/>
        </w:rPr>
        <w:t xml:space="preserve"> billion in 2018. References to Dow or the Company mean Dow Inc. and its subsidiaries. For more information, please visit </w:t>
      </w:r>
      <w:hyperlink r:id="rId13" w:history="1">
        <w:r w:rsidRPr="006A1FF7">
          <w:rPr>
            <w:rStyle w:val="Hyperlink"/>
            <w:rFonts w:asciiTheme="minorHAnsi" w:hAnsiTheme="minorHAnsi"/>
            <w:sz w:val="18"/>
            <w:szCs w:val="18"/>
          </w:rPr>
          <w:t>www.dow.com</w:t>
        </w:r>
      </w:hyperlink>
      <w:r w:rsidRPr="006A1FF7">
        <w:rPr>
          <w:rFonts w:asciiTheme="minorHAnsi" w:hAnsiTheme="minorHAnsi"/>
          <w:sz w:val="18"/>
          <w:szCs w:val="18"/>
        </w:rPr>
        <w:t xml:space="preserve"> </w:t>
      </w:r>
      <w:r w:rsidRPr="006A1FF7">
        <w:rPr>
          <w:rFonts w:asciiTheme="minorHAnsi" w:hAnsiTheme="minorHAnsi"/>
          <w:color w:val="415364" w:themeColor="text2"/>
          <w:sz w:val="18"/>
          <w:szCs w:val="18"/>
        </w:rPr>
        <w:t xml:space="preserve">or follow </w:t>
      </w:r>
      <w:hyperlink r:id="rId14" w:history="1">
        <w:r w:rsidRPr="006A1FF7">
          <w:rPr>
            <w:rStyle w:val="Hyperlink"/>
            <w:rFonts w:asciiTheme="minorHAnsi" w:hAnsiTheme="minorHAnsi"/>
            <w:sz w:val="18"/>
            <w:szCs w:val="18"/>
          </w:rPr>
          <w:t>@</w:t>
        </w:r>
        <w:proofErr w:type="spellStart"/>
        <w:r w:rsidRPr="006A1FF7">
          <w:rPr>
            <w:rStyle w:val="Hyperlink"/>
            <w:rFonts w:asciiTheme="minorHAnsi" w:hAnsiTheme="minorHAnsi"/>
            <w:sz w:val="18"/>
            <w:szCs w:val="18"/>
          </w:rPr>
          <w:t>DowNewsroom</w:t>
        </w:r>
        <w:proofErr w:type="spellEnd"/>
      </w:hyperlink>
      <w:r w:rsidRPr="006A1FF7">
        <w:rPr>
          <w:rFonts w:asciiTheme="minorHAnsi" w:hAnsiTheme="minorHAnsi"/>
          <w:sz w:val="18"/>
          <w:szCs w:val="18"/>
        </w:rPr>
        <w:t xml:space="preserve"> </w:t>
      </w:r>
      <w:r w:rsidRPr="006A1FF7">
        <w:rPr>
          <w:rFonts w:asciiTheme="minorHAnsi" w:hAnsiTheme="minorHAnsi"/>
          <w:color w:val="415364" w:themeColor="text2"/>
          <w:sz w:val="18"/>
          <w:szCs w:val="18"/>
        </w:rPr>
        <w:t>on Twitter.</w:t>
      </w:r>
    </w:p>
    <w:p w14:paraId="7FFA4968" w14:textId="77777777" w:rsidR="004D6850" w:rsidRPr="006A1FF7" w:rsidRDefault="004D6850" w:rsidP="00E60E8C">
      <w:pPr>
        <w:pStyle w:val="LetterBody"/>
        <w:spacing w:line="240" w:lineRule="auto"/>
        <w:rPr>
          <w:rFonts w:asciiTheme="minorHAnsi" w:hAnsiTheme="minorHAnsi"/>
          <w:color w:val="415364" w:themeColor="text2"/>
          <w:sz w:val="18"/>
          <w:szCs w:val="18"/>
        </w:rPr>
      </w:pPr>
    </w:p>
    <w:p w14:paraId="5D7FBBEE" w14:textId="7C11D97E" w:rsidR="004D6850" w:rsidRPr="006A1FF7" w:rsidRDefault="004D6850" w:rsidP="00E60E8C">
      <w:pPr>
        <w:pStyle w:val="LetterBody"/>
        <w:spacing w:line="240" w:lineRule="auto"/>
        <w:rPr>
          <w:rFonts w:asciiTheme="minorHAnsi" w:hAnsiTheme="minorHAnsi"/>
          <w:b/>
          <w:bCs/>
          <w:color w:val="415364" w:themeColor="text2"/>
          <w:sz w:val="18"/>
          <w:szCs w:val="18"/>
        </w:rPr>
      </w:pPr>
      <w:r w:rsidRPr="006A1FF7">
        <w:rPr>
          <w:rFonts w:asciiTheme="minorHAnsi" w:hAnsiTheme="minorHAnsi"/>
          <w:b/>
          <w:bCs/>
          <w:color w:val="415364" w:themeColor="text2"/>
          <w:sz w:val="18"/>
          <w:szCs w:val="18"/>
        </w:rPr>
        <w:t>About SCG</w:t>
      </w:r>
      <w:r w:rsidR="009B3254" w:rsidRPr="006A1FF7">
        <w:rPr>
          <w:rFonts w:asciiTheme="minorHAnsi" w:hAnsiTheme="minorHAnsi"/>
          <w:b/>
          <w:bCs/>
          <w:color w:val="415364" w:themeColor="text2"/>
          <w:sz w:val="18"/>
          <w:szCs w:val="18"/>
        </w:rPr>
        <w:t>, Chemicals Business</w:t>
      </w:r>
    </w:p>
    <w:p w14:paraId="3FDF13DE" w14:textId="65557B80" w:rsidR="004D6850" w:rsidRPr="006A1FF7" w:rsidRDefault="009B3254" w:rsidP="00E60E8C">
      <w:pPr>
        <w:pStyle w:val="LetterBody"/>
        <w:spacing w:line="240" w:lineRule="auto"/>
        <w:rPr>
          <w:rFonts w:asciiTheme="minorHAnsi" w:hAnsiTheme="minorHAnsi"/>
          <w:color w:val="415364" w:themeColor="text2"/>
          <w:sz w:val="18"/>
          <w:szCs w:val="18"/>
        </w:rPr>
      </w:pPr>
      <w:r w:rsidRPr="006A1FF7">
        <w:rPr>
          <w:rFonts w:asciiTheme="minorHAnsi" w:hAnsiTheme="minorHAnsi"/>
          <w:color w:val="415364" w:themeColor="text2"/>
          <w:sz w:val="18"/>
          <w:szCs w:val="18"/>
        </w:rPr>
        <w:t>SCG, Chemicals Business</w:t>
      </w:r>
      <w:r w:rsidR="004D6850" w:rsidRPr="006A1FF7">
        <w:rPr>
          <w:rFonts w:asciiTheme="minorHAnsi" w:hAnsiTheme="minorHAnsi"/>
          <w:color w:val="415364" w:themeColor="text2"/>
          <w:sz w:val="18"/>
          <w:szCs w:val="18"/>
        </w:rPr>
        <w:t>, is one of the largest integrated petrochemical companies in Thailand and a key industry leader in Asia offers a full range of petrochemical products ranging from upstream production of olefins to downstream production of 3 main plastics resins; polyethylene, polypropylene and polyvinyl chloride. To better serve customers’ requirements, SCG assigns prime importance to the development of new technology and innovation for the creation of high value-added products (HVA) and service solutions.</w:t>
      </w:r>
      <w:r w:rsidRPr="006A1FF7">
        <w:rPr>
          <w:rFonts w:asciiTheme="minorHAnsi" w:hAnsiTheme="minorHAnsi"/>
          <w:color w:val="415364" w:themeColor="text2"/>
          <w:sz w:val="18"/>
          <w:szCs w:val="18"/>
        </w:rPr>
        <w:t xml:space="preserve"> For more information, please visit </w:t>
      </w:r>
      <w:hyperlink r:id="rId15" w:history="1">
        <w:r w:rsidRPr="006A1FF7">
          <w:rPr>
            <w:rStyle w:val="Hyperlink"/>
            <w:rFonts w:asciiTheme="minorHAnsi" w:hAnsiTheme="minorHAnsi"/>
            <w:sz w:val="18"/>
            <w:szCs w:val="18"/>
          </w:rPr>
          <w:t>www.scgchemicals.com</w:t>
        </w:r>
      </w:hyperlink>
    </w:p>
    <w:p w14:paraId="03FE902E" w14:textId="77777777" w:rsidR="00D350A3" w:rsidRPr="00565F02" w:rsidRDefault="00D350A3" w:rsidP="00E60E8C">
      <w:pPr>
        <w:pStyle w:val="LetterBody"/>
        <w:spacing w:line="240" w:lineRule="auto"/>
        <w:rPr>
          <w:rFonts w:asciiTheme="minorHAnsi" w:hAnsiTheme="minorHAnsi"/>
          <w:color w:val="415364" w:themeColor="text2"/>
          <w:sz w:val="22"/>
          <w:szCs w:val="22"/>
        </w:rPr>
      </w:pPr>
    </w:p>
    <w:p w14:paraId="284381E0" w14:textId="77B30154" w:rsidR="00E60E8C" w:rsidRDefault="00E60E8C" w:rsidP="00E60E8C">
      <w:pPr>
        <w:pStyle w:val="LetterBody"/>
        <w:spacing w:line="240" w:lineRule="auto"/>
        <w:jc w:val="center"/>
        <w:rPr>
          <w:rFonts w:cstheme="minorHAnsi"/>
          <w:color w:val="415364" w:themeColor="text2"/>
          <w:sz w:val="22"/>
          <w:szCs w:val="22"/>
        </w:rPr>
      </w:pPr>
      <w:r w:rsidRPr="008B6732">
        <w:rPr>
          <w:rFonts w:cstheme="minorHAnsi"/>
          <w:color w:val="415364" w:themeColor="text2"/>
          <w:sz w:val="22"/>
          <w:szCs w:val="22"/>
        </w:rPr>
        <w:t>###</w:t>
      </w:r>
    </w:p>
    <w:p w14:paraId="6561DA8E" w14:textId="77777777" w:rsidR="006A1FF7" w:rsidRDefault="006A1FF7" w:rsidP="00E60E8C">
      <w:pPr>
        <w:pStyle w:val="LetterBody"/>
        <w:spacing w:line="240" w:lineRule="auto"/>
        <w:jc w:val="center"/>
        <w:rPr>
          <w:rFonts w:cstheme="minorHAnsi"/>
          <w:color w:val="415364" w:themeColor="text2"/>
          <w:sz w:val="22"/>
          <w:szCs w:val="22"/>
        </w:rPr>
      </w:pPr>
    </w:p>
    <w:p w14:paraId="52A21A4C" w14:textId="77777777" w:rsidR="008573B4" w:rsidRDefault="008573B4" w:rsidP="008573B4">
      <w:pPr>
        <w:pStyle w:val="LetterBody"/>
        <w:spacing w:line="240" w:lineRule="auto"/>
        <w:rPr>
          <w:rFonts w:cstheme="minorHAnsi"/>
          <w:color w:val="415364" w:themeColor="text2"/>
          <w:sz w:val="22"/>
          <w:szCs w:val="22"/>
        </w:rPr>
      </w:pPr>
      <w:r w:rsidRPr="008B6732">
        <w:rPr>
          <w:rFonts w:cstheme="minorHAnsi"/>
          <w:color w:val="415364" w:themeColor="text2"/>
          <w:sz w:val="22"/>
          <w:szCs w:val="22"/>
        </w:rPr>
        <w:t>For further information, please contact:</w:t>
      </w:r>
    </w:p>
    <w:p w14:paraId="6D0198F8" w14:textId="77777777" w:rsidR="006A1FF7" w:rsidRDefault="006A1FF7" w:rsidP="008573B4">
      <w:pPr>
        <w:pStyle w:val="LetterBody"/>
        <w:spacing w:line="240" w:lineRule="auto"/>
        <w:rPr>
          <w:rFonts w:cstheme="minorHAnsi"/>
          <w:color w:val="415364" w:themeColor="text2"/>
          <w:sz w:val="22"/>
          <w:szCs w:val="22"/>
        </w:rPr>
      </w:pPr>
    </w:p>
    <w:p w14:paraId="03C57A2C" w14:textId="7BE285A4" w:rsidR="008573B4" w:rsidRDefault="008573B4" w:rsidP="008573B4">
      <w:pPr>
        <w:pStyle w:val="LetterBody"/>
        <w:tabs>
          <w:tab w:val="left" w:pos="2268"/>
          <w:tab w:val="left" w:pos="5812"/>
        </w:tabs>
        <w:spacing w:line="240" w:lineRule="auto"/>
        <w:rPr>
          <w:rFonts w:asciiTheme="minorHAnsi" w:hAnsiTheme="minorHAnsi" w:cs="Arial"/>
          <w:noProof/>
          <w:color w:val="415364" w:themeColor="text2"/>
          <w:sz w:val="22"/>
          <w:szCs w:val="22"/>
        </w:rPr>
      </w:pPr>
      <w:r>
        <w:rPr>
          <w:rFonts w:cstheme="minorHAnsi"/>
          <w:noProof/>
          <w:color w:val="415364" w:themeColor="text2"/>
          <w:sz w:val="22"/>
          <w:szCs w:val="22"/>
          <w:lang w:bidi="th-TH"/>
        </w:rPr>
        <mc:AlternateContent>
          <mc:Choice Requires="wps">
            <w:drawing>
              <wp:anchor distT="0" distB="0" distL="114300" distR="114300" simplePos="0" relativeHeight="251659264" behindDoc="0" locked="0" layoutInCell="1" allowOverlap="1" wp14:anchorId="4BF0B48D" wp14:editId="6C4B53D2">
                <wp:simplePos x="0" y="0"/>
                <wp:positionH relativeFrom="column">
                  <wp:posOffset>3370580</wp:posOffset>
                </wp:positionH>
                <wp:positionV relativeFrom="paragraph">
                  <wp:posOffset>51757</wp:posOffset>
                </wp:positionV>
                <wp:extent cx="0" cy="777922"/>
                <wp:effectExtent l="0" t="0" r="19050" b="22225"/>
                <wp:wrapNone/>
                <wp:docPr id="2" name="Straight Connector 2"/>
                <wp:cNvGraphicFramePr/>
                <a:graphic xmlns:a="http://schemas.openxmlformats.org/drawingml/2006/main">
                  <a:graphicData uri="http://schemas.microsoft.com/office/word/2010/wordprocessingShape">
                    <wps:wsp>
                      <wps:cNvCnPr/>
                      <wps:spPr>
                        <a:xfrm>
                          <a:off x="0" y="0"/>
                          <a:ext cx="0" cy="777922"/>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6F8AD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65.4pt,4.1pt" to="265.4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" strokecolor="#a5a5a5 [2092]" strokeweight=".5pt">
                <v:stroke joinstyle="miter"/>
              </v:line>
            </w:pict>
          </mc:Fallback>
        </mc:AlternateContent>
      </w:r>
      <w:r>
        <w:rPr>
          <w:rFonts w:cstheme="minorHAnsi"/>
          <w:color w:val="415364" w:themeColor="text2"/>
          <w:sz w:val="22"/>
          <w:szCs w:val="22"/>
        </w:rPr>
        <w:t>Dow:</w:t>
      </w:r>
      <w:r>
        <w:rPr>
          <w:rFonts w:cstheme="minorHAnsi"/>
          <w:color w:val="415364" w:themeColor="text2"/>
          <w:sz w:val="22"/>
          <w:szCs w:val="22"/>
        </w:rPr>
        <w:tab/>
      </w:r>
      <w:r>
        <w:rPr>
          <w:rFonts w:cstheme="minorHAnsi"/>
          <w:color w:val="415364" w:themeColor="text2"/>
          <w:sz w:val="22"/>
          <w:szCs w:val="22"/>
        </w:rPr>
        <w:tab/>
      </w:r>
      <w:r w:rsidRPr="007352B9">
        <w:rPr>
          <w:rFonts w:asciiTheme="minorHAnsi" w:hAnsiTheme="minorHAnsi" w:cs="Arial"/>
          <w:noProof/>
          <w:color w:val="415364" w:themeColor="text2"/>
          <w:sz w:val="22"/>
          <w:szCs w:val="22"/>
        </w:rPr>
        <w:t>SCG, Chemicals Business</w:t>
      </w:r>
      <w:r>
        <w:rPr>
          <w:rFonts w:asciiTheme="minorHAnsi" w:hAnsiTheme="minorHAnsi" w:cs="Arial"/>
          <w:noProof/>
          <w:color w:val="415364" w:themeColor="text2"/>
          <w:sz w:val="22"/>
          <w:szCs w:val="22"/>
        </w:rPr>
        <w:t>:</w:t>
      </w:r>
    </w:p>
    <w:p w14:paraId="3C2DDC2A" w14:textId="77777777" w:rsidR="006A1FF7" w:rsidRPr="008B6732" w:rsidRDefault="006A1FF7" w:rsidP="008573B4">
      <w:pPr>
        <w:pStyle w:val="LetterBody"/>
        <w:tabs>
          <w:tab w:val="left" w:pos="2268"/>
          <w:tab w:val="left" w:pos="5812"/>
        </w:tabs>
        <w:spacing w:line="240" w:lineRule="auto"/>
        <w:rPr>
          <w:rFonts w:cstheme="minorHAnsi"/>
          <w:color w:val="415364" w:themeColor="text2"/>
          <w:sz w:val="22"/>
          <w:szCs w:val="22"/>
        </w:rPr>
      </w:pPr>
    </w:p>
    <w:p w14:paraId="167B3CDE" w14:textId="77777777" w:rsidR="008573B4" w:rsidRPr="000661F6" w:rsidRDefault="008573B4" w:rsidP="008573B4">
      <w:pPr>
        <w:pStyle w:val="ContactInformation"/>
        <w:tabs>
          <w:tab w:val="clear" w:pos="5040"/>
          <w:tab w:val="left" w:pos="2410"/>
          <w:tab w:val="left" w:pos="5812"/>
        </w:tabs>
        <w:spacing w:line="240" w:lineRule="auto"/>
        <w:rPr>
          <w:rFonts w:asciiTheme="minorHAnsi" w:hAnsiTheme="minorHAnsi" w:cs="Arial"/>
          <w:b/>
          <w:noProof/>
          <w:color w:val="415364" w:themeColor="text2"/>
          <w:sz w:val="22"/>
          <w:szCs w:val="22"/>
        </w:rPr>
      </w:pPr>
      <w:r w:rsidRPr="000661F6">
        <w:rPr>
          <w:rFonts w:asciiTheme="minorHAnsi" w:hAnsiTheme="minorHAnsi" w:cs="Arial"/>
          <w:b/>
          <w:noProof/>
          <w:color w:val="415364" w:themeColor="text2"/>
          <w:sz w:val="22"/>
          <w:szCs w:val="22"/>
        </w:rPr>
        <w:t>Guillaume Artois</w:t>
      </w:r>
      <w:r w:rsidRPr="000661F6">
        <w:rPr>
          <w:rFonts w:asciiTheme="minorHAnsi" w:hAnsiTheme="minorHAnsi" w:cs="Arial"/>
          <w:b/>
          <w:noProof/>
          <w:color w:val="415364" w:themeColor="text2"/>
          <w:sz w:val="22"/>
          <w:szCs w:val="22"/>
        </w:rPr>
        <w:tab/>
        <w:t>Suttipong Krotintakom</w:t>
      </w:r>
      <w:r w:rsidRPr="000661F6">
        <w:rPr>
          <w:rFonts w:asciiTheme="minorHAnsi" w:hAnsiTheme="minorHAnsi" w:cs="Arial"/>
          <w:b/>
          <w:noProof/>
          <w:color w:val="415364" w:themeColor="text2"/>
          <w:sz w:val="22"/>
          <w:szCs w:val="22"/>
        </w:rPr>
        <w:tab/>
      </w:r>
      <w:r w:rsidRPr="000661F6">
        <w:rPr>
          <w:rFonts w:asciiTheme="minorHAnsi" w:hAnsiTheme="minorHAnsi" w:cs="Browallia New"/>
          <w:b/>
          <w:noProof/>
          <w:color w:val="415364" w:themeColor="text2"/>
          <w:sz w:val="22"/>
          <w:szCs w:val="28"/>
          <w:lang w:bidi="th-TH"/>
        </w:rPr>
        <w:t>Saranjit Chuwongkomol</w:t>
      </w:r>
    </w:p>
    <w:p w14:paraId="10DAD5CF" w14:textId="77777777" w:rsidR="008573B4" w:rsidRPr="000661F6" w:rsidRDefault="008573B4" w:rsidP="008573B4">
      <w:pPr>
        <w:pStyle w:val="ContactInformation"/>
        <w:tabs>
          <w:tab w:val="clear" w:pos="5040"/>
          <w:tab w:val="left" w:pos="2410"/>
          <w:tab w:val="left" w:pos="5812"/>
        </w:tabs>
        <w:spacing w:line="240" w:lineRule="auto"/>
        <w:rPr>
          <w:rFonts w:asciiTheme="minorHAnsi" w:hAnsiTheme="minorHAnsi" w:cs="Arial"/>
          <w:noProof/>
          <w:color w:val="415364" w:themeColor="text2"/>
          <w:sz w:val="22"/>
          <w:szCs w:val="22"/>
        </w:rPr>
      </w:pPr>
      <w:r w:rsidRPr="000661F6">
        <w:rPr>
          <w:rFonts w:asciiTheme="minorHAnsi" w:hAnsiTheme="minorHAnsi" w:cs="Arial"/>
          <w:noProof/>
          <w:color w:val="415364" w:themeColor="text2"/>
          <w:sz w:val="22"/>
          <w:szCs w:val="22"/>
        </w:rPr>
        <w:t>+1 989 633 45 73</w:t>
      </w:r>
      <w:r w:rsidRPr="000661F6">
        <w:rPr>
          <w:rFonts w:asciiTheme="minorHAnsi" w:hAnsiTheme="minorHAnsi" w:cs="Arial"/>
          <w:noProof/>
          <w:color w:val="415364" w:themeColor="text2"/>
          <w:sz w:val="22"/>
          <w:szCs w:val="22"/>
        </w:rPr>
        <w:tab/>
        <w:t>+66 081 791 9626</w:t>
      </w:r>
      <w:r w:rsidRPr="000661F6">
        <w:rPr>
          <w:rFonts w:asciiTheme="minorHAnsi" w:hAnsiTheme="minorHAnsi" w:cs="Arial"/>
          <w:noProof/>
          <w:color w:val="415364" w:themeColor="text2"/>
          <w:sz w:val="22"/>
          <w:szCs w:val="22"/>
        </w:rPr>
        <w:tab/>
      </w:r>
      <w:r w:rsidRPr="000661F6">
        <w:rPr>
          <w:rFonts w:asciiTheme="minorHAnsi" w:hAnsiTheme="minorHAnsi"/>
          <w:noProof/>
          <w:color w:val="415364" w:themeColor="text2"/>
          <w:sz w:val="22"/>
          <w:szCs w:val="28"/>
          <w:lang w:bidi="th-TH"/>
        </w:rPr>
        <w:t>+66 094 546 2542</w:t>
      </w:r>
    </w:p>
    <w:p w14:paraId="364932C7" w14:textId="77777777" w:rsidR="008573B4" w:rsidRPr="000661F6" w:rsidRDefault="00A7537A" w:rsidP="008573B4">
      <w:pPr>
        <w:pStyle w:val="ContactInformation"/>
        <w:tabs>
          <w:tab w:val="clear" w:pos="5040"/>
          <w:tab w:val="left" w:pos="2410"/>
          <w:tab w:val="left" w:pos="5812"/>
        </w:tabs>
        <w:spacing w:line="240" w:lineRule="auto"/>
        <w:rPr>
          <w:rFonts w:asciiTheme="minorHAnsi" w:hAnsiTheme="minorHAnsi" w:cs="Arial"/>
          <w:noProof/>
          <w:color w:val="E80033"/>
          <w:sz w:val="22"/>
          <w:szCs w:val="22"/>
        </w:rPr>
      </w:pPr>
      <w:hyperlink r:id="rId16" w:history="1">
        <w:r w:rsidR="008573B4" w:rsidRPr="000661F6">
          <w:rPr>
            <w:rStyle w:val="Hyperlink"/>
            <w:rFonts w:asciiTheme="minorHAnsi" w:hAnsiTheme="minorHAnsi" w:cs="Arial"/>
            <w:noProof/>
            <w:sz w:val="22"/>
            <w:szCs w:val="22"/>
          </w:rPr>
          <w:t>gartois@dow.com</w:t>
        </w:r>
      </w:hyperlink>
      <w:r w:rsidR="008573B4" w:rsidRPr="000661F6">
        <w:rPr>
          <w:rFonts w:asciiTheme="minorHAnsi" w:hAnsiTheme="minorHAnsi" w:cs="Arial"/>
          <w:noProof/>
          <w:color w:val="E80033"/>
          <w:sz w:val="22"/>
          <w:szCs w:val="22"/>
        </w:rPr>
        <w:tab/>
      </w:r>
      <w:hyperlink r:id="rId17" w:history="1">
        <w:r w:rsidR="008573B4" w:rsidRPr="000661F6">
          <w:rPr>
            <w:rStyle w:val="Hyperlink"/>
            <w:rFonts w:asciiTheme="minorHAnsi" w:hAnsiTheme="minorHAnsi" w:cs="Arial"/>
            <w:noProof/>
            <w:sz w:val="22"/>
            <w:szCs w:val="22"/>
          </w:rPr>
          <w:t>skrotintakom@dow.com</w:t>
        </w:r>
      </w:hyperlink>
      <w:r w:rsidR="008573B4" w:rsidRPr="000661F6">
        <w:rPr>
          <w:rStyle w:val="Hyperlink"/>
          <w:rFonts w:asciiTheme="minorHAnsi" w:hAnsiTheme="minorHAnsi" w:cs="Arial"/>
          <w:noProof/>
          <w:sz w:val="22"/>
          <w:szCs w:val="22"/>
        </w:rPr>
        <w:tab/>
      </w:r>
      <w:hyperlink r:id="rId18" w:history="1">
        <w:r w:rsidR="008573B4" w:rsidRPr="000661F6">
          <w:rPr>
            <w:rStyle w:val="Hyperlink"/>
            <w:rFonts w:asciiTheme="minorHAnsi" w:hAnsiTheme="minorHAnsi" w:cs="Arial"/>
            <w:noProof/>
            <w:sz w:val="22"/>
            <w:szCs w:val="22"/>
          </w:rPr>
          <w:t>saranjic@scg.com</w:t>
        </w:r>
      </w:hyperlink>
    </w:p>
    <w:p w14:paraId="312DC832" w14:textId="77777777" w:rsidR="008573B4" w:rsidRPr="000661F6" w:rsidRDefault="008573B4" w:rsidP="008573B4">
      <w:pPr>
        <w:pStyle w:val="ContactInformation"/>
        <w:tabs>
          <w:tab w:val="left" w:pos="2127"/>
          <w:tab w:val="left" w:pos="5812"/>
        </w:tabs>
        <w:spacing w:line="240" w:lineRule="auto"/>
        <w:rPr>
          <w:rFonts w:asciiTheme="minorHAnsi" w:hAnsiTheme="minorHAnsi" w:cs="Arial"/>
          <w:noProof/>
          <w:color w:val="E80033"/>
          <w:sz w:val="22"/>
          <w:szCs w:val="22"/>
        </w:rPr>
      </w:pPr>
    </w:p>
    <w:p w14:paraId="181DD7E9" w14:textId="77777777" w:rsidR="008573B4" w:rsidRPr="00116B83" w:rsidRDefault="008573B4" w:rsidP="008573B4">
      <w:pPr>
        <w:tabs>
          <w:tab w:val="left" w:pos="450"/>
          <w:tab w:val="left" w:pos="900"/>
          <w:tab w:val="left" w:pos="1350"/>
        </w:tabs>
        <w:spacing w:after="0" w:line="240" w:lineRule="auto"/>
        <w:rPr>
          <w:rFonts w:eastAsiaTheme="minorEastAsia" w:cs="Arial"/>
          <w:noProof/>
          <w:lang w:val="fr-FR"/>
        </w:rPr>
      </w:pPr>
      <w:r w:rsidRPr="002D5CEE">
        <w:rPr>
          <w:rFonts w:ascii="Arial" w:eastAsiaTheme="minorEastAsia" w:hAnsi="Arial"/>
          <w:noProof/>
          <w:lang w:bidi="th-TH"/>
        </w:rPr>
        <w:drawing>
          <wp:inline distT="0" distB="0" distL="0" distR="0" wp14:anchorId="20DB8DE3" wp14:editId="21DEF4D7">
            <wp:extent cx="229716" cy="230400"/>
            <wp:effectExtent l="0" t="0" r="0" b="0"/>
            <wp:docPr id="3" name="Picture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9"/>
                    <a:stretch>
                      <a:fillRect/>
                    </a:stretch>
                  </pic:blipFill>
                  <pic:spPr>
                    <a:xfrm>
                      <a:off x="0" y="0"/>
                      <a:ext cx="229716" cy="230400"/>
                    </a:xfrm>
                    <a:prstGeom prst="rect">
                      <a:avLst/>
                    </a:prstGeom>
                  </pic:spPr>
                </pic:pic>
              </a:graphicData>
            </a:graphic>
          </wp:inline>
        </w:drawing>
      </w:r>
      <w:r w:rsidRPr="00116B83">
        <w:rPr>
          <w:rFonts w:eastAsiaTheme="minorEastAsia" w:cs="Arial"/>
          <w:noProof/>
          <w:lang w:val="fr-FR"/>
        </w:rPr>
        <w:t xml:space="preserve"> </w:t>
      </w:r>
      <w:r w:rsidRPr="002D5CEE">
        <w:rPr>
          <w:rFonts w:eastAsiaTheme="minorEastAsia" w:cs="Arial"/>
          <w:noProof/>
          <w:lang w:bidi="th-TH"/>
        </w:rPr>
        <w:drawing>
          <wp:inline distT="0" distB="0" distL="0" distR="0" wp14:anchorId="01639880" wp14:editId="64DE2969">
            <wp:extent cx="229716" cy="230400"/>
            <wp:effectExtent l="0" t="0" r="0" b="0"/>
            <wp:docPr id="5" name="Picture 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1"/>
                    <a:stretch>
                      <a:fillRect/>
                    </a:stretch>
                  </pic:blipFill>
                  <pic:spPr>
                    <a:xfrm>
                      <a:off x="0" y="0"/>
                      <a:ext cx="229716" cy="230400"/>
                    </a:xfrm>
                    <a:prstGeom prst="rect">
                      <a:avLst/>
                    </a:prstGeom>
                  </pic:spPr>
                </pic:pic>
              </a:graphicData>
            </a:graphic>
          </wp:inline>
        </w:drawing>
      </w:r>
      <w:r w:rsidRPr="00116B83">
        <w:rPr>
          <w:rFonts w:eastAsiaTheme="minorEastAsia" w:cs="Arial"/>
          <w:noProof/>
          <w:lang w:val="fr-FR"/>
        </w:rPr>
        <w:t xml:space="preserve"> </w:t>
      </w:r>
      <w:r w:rsidRPr="002D5CEE">
        <w:rPr>
          <w:rFonts w:ascii="Arial" w:eastAsiaTheme="minorEastAsia" w:hAnsi="Arial"/>
          <w:noProof/>
          <w:lang w:bidi="th-TH"/>
        </w:rPr>
        <w:drawing>
          <wp:inline distT="0" distB="0" distL="0" distR="0" wp14:anchorId="39E782DA" wp14:editId="0193C51C">
            <wp:extent cx="230400" cy="230400"/>
            <wp:effectExtent l="0" t="0" r="0" b="0"/>
            <wp:docPr id="4" name="Picture 3">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3"/>
                    <a:stretch>
                      <a:fillRect/>
                    </a:stretch>
                  </pic:blipFill>
                  <pic:spPr>
                    <a:xfrm>
                      <a:off x="0" y="0"/>
                      <a:ext cx="230400" cy="230400"/>
                    </a:xfrm>
                    <a:prstGeom prst="rect">
                      <a:avLst/>
                    </a:prstGeom>
                  </pic:spPr>
                </pic:pic>
              </a:graphicData>
            </a:graphic>
          </wp:inline>
        </w:drawing>
      </w:r>
      <w:r w:rsidRPr="00116B83">
        <w:rPr>
          <w:rFonts w:eastAsiaTheme="minorEastAsia" w:cs="Arial"/>
          <w:noProof/>
          <w:lang w:val="fr-FR"/>
        </w:rPr>
        <w:t xml:space="preserve"> </w:t>
      </w:r>
      <w:r w:rsidRPr="002D5CEE">
        <w:rPr>
          <w:rFonts w:eastAsiaTheme="minorEastAsia" w:cs="Arial"/>
          <w:noProof/>
          <w:lang w:bidi="th-TH"/>
        </w:rPr>
        <w:drawing>
          <wp:inline distT="0" distB="0" distL="0" distR="0" wp14:anchorId="1CFD6378" wp14:editId="3FDDB116">
            <wp:extent cx="230400" cy="230400"/>
            <wp:effectExtent l="0" t="0" r="0" b="0"/>
            <wp:docPr id="6" name="Picture 5">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5"/>
                    <a:stretch>
                      <a:fillRect/>
                    </a:stretch>
                  </pic:blipFill>
                  <pic:spPr>
                    <a:xfrm>
                      <a:off x="0" y="0"/>
                      <a:ext cx="230400" cy="230400"/>
                    </a:xfrm>
                    <a:prstGeom prst="rect">
                      <a:avLst/>
                    </a:prstGeom>
                  </pic:spPr>
                </pic:pic>
              </a:graphicData>
            </a:graphic>
          </wp:inline>
        </w:drawing>
      </w:r>
    </w:p>
    <w:p w14:paraId="3434B3CD" w14:textId="7B56F92D" w:rsidR="004E3691" w:rsidRDefault="004E3691" w:rsidP="008573B4">
      <w:pPr>
        <w:pStyle w:val="LetterBody"/>
        <w:spacing w:line="240" w:lineRule="auto"/>
        <w:rPr>
          <w:rFonts w:cs="Arial"/>
          <w:noProof/>
          <w:lang w:val="fr-FR"/>
        </w:rPr>
      </w:pPr>
    </w:p>
    <w:p w14:paraId="28FA4037" w14:textId="77777777" w:rsidR="00AF33A0" w:rsidRDefault="00AF33A0" w:rsidP="008573B4">
      <w:pPr>
        <w:pStyle w:val="LetterBody"/>
        <w:spacing w:line="240" w:lineRule="auto"/>
        <w:rPr>
          <w:rFonts w:cs="Arial"/>
          <w:noProof/>
          <w:lang w:val="fr-FR"/>
        </w:rPr>
      </w:pPr>
    </w:p>
    <w:p w14:paraId="237E355B" w14:textId="77777777" w:rsidR="00AF33A0" w:rsidRDefault="00AF33A0" w:rsidP="008573B4">
      <w:pPr>
        <w:pStyle w:val="LetterBody"/>
        <w:spacing w:line="240" w:lineRule="auto"/>
        <w:rPr>
          <w:rFonts w:cs="Arial"/>
          <w:noProof/>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2330"/>
      </w:tblGrid>
      <w:tr w:rsidR="00AF33A0" w14:paraId="09B1245E" w14:textId="77777777" w:rsidTr="00914E11">
        <w:tc>
          <w:tcPr>
            <w:tcW w:w="7650" w:type="dxa"/>
            <w:shd w:val="clear" w:color="auto" w:fill="auto"/>
          </w:tcPr>
          <w:p w14:paraId="7405450C" w14:textId="77777777" w:rsidR="00AF33A0" w:rsidRPr="006A1FF7" w:rsidRDefault="00AF33A0" w:rsidP="00914E11">
            <w:pPr>
              <w:pStyle w:val="LetterBody"/>
              <w:spacing w:line="240" w:lineRule="auto"/>
              <w:jc w:val="center"/>
              <w:rPr>
                <w:rFonts w:asciiTheme="majorBidi" w:hAnsiTheme="majorBidi" w:cstheme="majorBidi"/>
                <w:sz w:val="14"/>
                <w:szCs w:val="14"/>
                <w:lang w:bidi="th-TH"/>
              </w:rPr>
            </w:pPr>
          </w:p>
          <w:p w14:paraId="0936E56F" w14:textId="77777777" w:rsidR="00AF33A0" w:rsidRPr="00AF33A0" w:rsidRDefault="00AF33A0" w:rsidP="00914E11">
            <w:pPr>
              <w:pStyle w:val="LetterBody"/>
              <w:spacing w:line="240" w:lineRule="auto"/>
              <w:jc w:val="center"/>
              <w:rPr>
                <w:rFonts w:asciiTheme="majorHAnsi" w:hAnsiTheme="majorHAnsi" w:cstheme="majorHAnsi"/>
                <w:b/>
                <w:bCs/>
                <w:sz w:val="14"/>
                <w:szCs w:val="14"/>
              </w:rPr>
            </w:pPr>
            <w:r w:rsidRPr="00AF33A0">
              <w:rPr>
                <w:rFonts w:asciiTheme="majorHAnsi" w:hAnsiTheme="majorHAnsi" w:cstheme="majorHAnsi"/>
                <w:b/>
                <w:bCs/>
                <w:sz w:val="22"/>
                <w:szCs w:val="28"/>
                <w:lang w:bidi="th-TH"/>
              </w:rPr>
              <w:t>Please scan QR code for additional photos and documents.</w:t>
            </w:r>
          </w:p>
          <w:p w14:paraId="1A0C8168" w14:textId="77777777" w:rsidR="00AF33A0" w:rsidRDefault="00AF33A0" w:rsidP="00914E11">
            <w:pPr>
              <w:pStyle w:val="LetterBody"/>
              <w:spacing w:line="240" w:lineRule="auto"/>
              <w:jc w:val="center"/>
              <w:rPr>
                <w:rFonts w:cstheme="minorHAnsi"/>
                <w:color w:val="415364" w:themeColor="text2"/>
                <w:sz w:val="22"/>
                <w:szCs w:val="22"/>
              </w:rPr>
            </w:pPr>
            <w:r>
              <w:rPr>
                <w:noProof/>
                <w:lang w:bidi="th-TH"/>
              </w:rPr>
              <w:drawing>
                <wp:inline distT="0" distB="0" distL="0" distR="0" wp14:anchorId="6BCCE56A" wp14:editId="2E8A0759">
                  <wp:extent cx="3536289" cy="526726"/>
                  <wp:effectExtent l="0" t="0" r="762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625789" cy="540057"/>
                          </a:xfrm>
                          <a:prstGeom prst="rect">
                            <a:avLst/>
                          </a:prstGeom>
                        </pic:spPr>
                      </pic:pic>
                    </a:graphicData>
                  </a:graphic>
                </wp:inline>
              </w:drawing>
            </w:r>
          </w:p>
        </w:tc>
        <w:tc>
          <w:tcPr>
            <w:tcW w:w="2330" w:type="dxa"/>
            <w:shd w:val="clear" w:color="auto" w:fill="auto"/>
          </w:tcPr>
          <w:p w14:paraId="6CCD4174" w14:textId="77777777" w:rsidR="00AF33A0" w:rsidRPr="00AF33A0" w:rsidRDefault="00AF33A0" w:rsidP="00914E11">
            <w:pPr>
              <w:pStyle w:val="LetterBody"/>
              <w:spacing w:line="240" w:lineRule="auto"/>
              <w:jc w:val="center"/>
              <w:rPr>
                <w:rFonts w:cstheme="minorHAnsi"/>
                <w:color w:val="415364" w:themeColor="text2"/>
                <w:sz w:val="10"/>
                <w:szCs w:val="10"/>
              </w:rPr>
            </w:pPr>
          </w:p>
          <w:p w14:paraId="1954F4B5" w14:textId="77777777" w:rsidR="00AF33A0" w:rsidRDefault="00AF33A0" w:rsidP="00914E11">
            <w:pPr>
              <w:pStyle w:val="LetterBody"/>
              <w:spacing w:line="240" w:lineRule="auto"/>
              <w:jc w:val="center"/>
              <w:rPr>
                <w:rFonts w:cstheme="minorHAnsi"/>
                <w:color w:val="415364" w:themeColor="text2"/>
                <w:sz w:val="22"/>
                <w:szCs w:val="22"/>
              </w:rPr>
            </w:pPr>
            <w:r>
              <w:rPr>
                <w:rFonts w:cstheme="minorHAnsi"/>
                <w:noProof/>
                <w:color w:val="415364" w:themeColor="text2"/>
                <w:sz w:val="22"/>
                <w:szCs w:val="22"/>
                <w:lang w:bidi="th-TH"/>
              </w:rPr>
              <w:drawing>
                <wp:inline distT="0" distB="0" distL="0" distR="0" wp14:anchorId="0048B448" wp14:editId="0038E48F">
                  <wp:extent cx="784860" cy="7848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84860" cy="784860"/>
                          </a:xfrm>
                          <a:prstGeom prst="rect">
                            <a:avLst/>
                          </a:prstGeom>
                        </pic:spPr>
                      </pic:pic>
                    </a:graphicData>
                  </a:graphic>
                </wp:inline>
              </w:drawing>
            </w:r>
          </w:p>
          <w:p w14:paraId="6B3C7714" w14:textId="77777777" w:rsidR="00AF33A0" w:rsidRDefault="00AF33A0" w:rsidP="00914E11">
            <w:pPr>
              <w:pStyle w:val="LetterBody"/>
              <w:spacing w:line="240" w:lineRule="auto"/>
              <w:rPr>
                <w:rFonts w:cstheme="minorHAnsi"/>
                <w:color w:val="415364" w:themeColor="text2"/>
                <w:sz w:val="22"/>
                <w:szCs w:val="22"/>
              </w:rPr>
            </w:pPr>
          </w:p>
        </w:tc>
      </w:tr>
    </w:tbl>
    <w:p w14:paraId="3BD1A074" w14:textId="77777777" w:rsidR="00AF33A0" w:rsidRPr="00116B83" w:rsidRDefault="00AF33A0" w:rsidP="008573B4">
      <w:pPr>
        <w:pStyle w:val="LetterBody"/>
        <w:spacing w:line="240" w:lineRule="auto"/>
        <w:rPr>
          <w:rFonts w:cs="Arial"/>
          <w:noProof/>
          <w:lang w:val="fr-FR"/>
        </w:rPr>
      </w:pPr>
    </w:p>
    <w:sectPr w:rsidR="00AF33A0" w:rsidRPr="00116B83" w:rsidSect="00F20426">
      <w:headerReference w:type="even" r:id="rId28"/>
      <w:headerReference w:type="default" r:id="rId29"/>
      <w:footerReference w:type="even" r:id="rId30"/>
      <w:footerReference w:type="default" r:id="rId31"/>
      <w:headerReference w:type="first" r:id="rId32"/>
      <w:footerReference w:type="first" r:id="rId33"/>
      <w:pgSz w:w="12240" w:h="15840"/>
      <w:pgMar w:top="921" w:right="1080" w:bottom="1440" w:left="117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1A900" w14:textId="77777777" w:rsidR="00A7537A" w:rsidRDefault="00A7537A" w:rsidP="00094F76">
      <w:pPr>
        <w:spacing w:after="0" w:line="240" w:lineRule="auto"/>
      </w:pPr>
      <w:r>
        <w:separator/>
      </w:r>
    </w:p>
  </w:endnote>
  <w:endnote w:type="continuationSeparator" w:id="0">
    <w:p w14:paraId="636DC69C" w14:textId="77777777" w:rsidR="00A7537A" w:rsidRDefault="00A7537A" w:rsidP="00094F76">
      <w:pPr>
        <w:spacing w:after="0" w:line="240" w:lineRule="auto"/>
      </w:pPr>
      <w:r>
        <w:continuationSeparator/>
      </w:r>
    </w:p>
  </w:endnote>
  <w:endnote w:type="continuationNotice" w:id="1">
    <w:p w14:paraId="315797D4" w14:textId="77777777" w:rsidR="00A7537A" w:rsidRDefault="00A753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7CBF3" w14:textId="77777777" w:rsidR="005E5767" w:rsidRDefault="005E57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61449189"/>
      <w:docPartObj>
        <w:docPartGallery w:val="Page Numbers (Bottom of Page)"/>
        <w:docPartUnique/>
      </w:docPartObj>
    </w:sdtPr>
    <w:sdtEndPr>
      <w:rPr>
        <w:rFonts w:ascii="Arial" w:hAnsi="Arial" w:cs="Arial"/>
        <w:color w:val="415364"/>
      </w:rPr>
    </w:sdtEndPr>
    <w:sdtContent>
      <w:sdt>
        <w:sdtPr>
          <w:rPr>
            <w:rFonts w:ascii="Arial" w:hAnsi="Arial" w:cs="Arial"/>
            <w:color w:val="415364"/>
            <w:sz w:val="16"/>
            <w:szCs w:val="16"/>
          </w:rPr>
          <w:id w:val="-175657695"/>
          <w:docPartObj>
            <w:docPartGallery w:val="Page Numbers (Top of Page)"/>
            <w:docPartUnique/>
          </w:docPartObj>
        </w:sdtPr>
        <w:sdtEndPr/>
        <w:sdtContent>
          <w:p w14:paraId="2F6F0C0B" w14:textId="5016D74E" w:rsidR="0079691E" w:rsidRPr="009A59C4" w:rsidRDefault="0079691E" w:rsidP="00094F76">
            <w:pPr>
              <w:pStyle w:val="Footer"/>
              <w:rPr>
                <w:rFonts w:ascii="Arial" w:hAnsi="Arial" w:cs="Arial"/>
                <w:color w:val="415364"/>
                <w:sz w:val="16"/>
                <w:szCs w:val="16"/>
              </w:rPr>
            </w:pPr>
            <w:r w:rsidRPr="009A59C4">
              <w:rPr>
                <w:rFonts w:ascii="Arial" w:hAnsi="Arial" w:cs="Arial"/>
                <w:color w:val="415364"/>
                <w:sz w:val="16"/>
                <w:szCs w:val="16"/>
              </w:rPr>
              <w:t xml:space="preserve">Page </w:t>
            </w:r>
            <w:r w:rsidR="00945A1E" w:rsidRPr="009A59C4">
              <w:rPr>
                <w:rFonts w:ascii="Arial" w:hAnsi="Arial" w:cs="Arial"/>
                <w:color w:val="415364"/>
                <w:sz w:val="16"/>
                <w:szCs w:val="16"/>
              </w:rPr>
              <w:fldChar w:fldCharType="begin"/>
            </w:r>
            <w:r w:rsidRPr="009A59C4">
              <w:rPr>
                <w:rFonts w:ascii="Arial" w:hAnsi="Arial" w:cs="Arial"/>
                <w:color w:val="415364"/>
                <w:sz w:val="16"/>
                <w:szCs w:val="16"/>
              </w:rPr>
              <w:instrText xml:space="preserve"> PAGE </w:instrText>
            </w:r>
            <w:r w:rsidR="00945A1E" w:rsidRPr="009A59C4">
              <w:rPr>
                <w:rFonts w:ascii="Arial" w:hAnsi="Arial" w:cs="Arial"/>
                <w:color w:val="415364"/>
                <w:sz w:val="16"/>
                <w:szCs w:val="16"/>
              </w:rPr>
              <w:fldChar w:fldCharType="separate"/>
            </w:r>
            <w:r w:rsidR="00703A97">
              <w:rPr>
                <w:rFonts w:ascii="Arial" w:hAnsi="Arial" w:cs="Arial"/>
                <w:noProof/>
                <w:color w:val="415364"/>
                <w:sz w:val="16"/>
                <w:szCs w:val="16"/>
              </w:rPr>
              <w:t>2</w:t>
            </w:r>
            <w:r w:rsidR="00945A1E" w:rsidRPr="009A59C4">
              <w:rPr>
                <w:rFonts w:ascii="Arial" w:hAnsi="Arial" w:cs="Arial"/>
                <w:color w:val="415364"/>
                <w:sz w:val="16"/>
                <w:szCs w:val="16"/>
              </w:rPr>
              <w:fldChar w:fldCharType="end"/>
            </w:r>
            <w:r w:rsidRPr="009A59C4">
              <w:rPr>
                <w:rFonts w:ascii="Arial" w:hAnsi="Arial" w:cs="Arial"/>
                <w:color w:val="415364"/>
                <w:sz w:val="16"/>
                <w:szCs w:val="16"/>
              </w:rPr>
              <w:t xml:space="preserve"> of </w:t>
            </w:r>
            <w:r w:rsidR="00945A1E" w:rsidRPr="009A59C4">
              <w:rPr>
                <w:rFonts w:ascii="Arial" w:hAnsi="Arial" w:cs="Arial"/>
                <w:color w:val="415364"/>
                <w:sz w:val="16"/>
                <w:szCs w:val="16"/>
              </w:rPr>
              <w:fldChar w:fldCharType="begin"/>
            </w:r>
            <w:r w:rsidRPr="009A59C4">
              <w:rPr>
                <w:rFonts w:ascii="Arial" w:hAnsi="Arial" w:cs="Arial"/>
                <w:color w:val="415364"/>
                <w:sz w:val="16"/>
                <w:szCs w:val="16"/>
              </w:rPr>
              <w:instrText xml:space="preserve"> NUMPAGES  </w:instrText>
            </w:r>
            <w:r w:rsidR="00945A1E" w:rsidRPr="009A59C4">
              <w:rPr>
                <w:rFonts w:ascii="Arial" w:hAnsi="Arial" w:cs="Arial"/>
                <w:color w:val="415364"/>
                <w:sz w:val="16"/>
                <w:szCs w:val="16"/>
              </w:rPr>
              <w:fldChar w:fldCharType="separate"/>
            </w:r>
            <w:r w:rsidR="00703A97">
              <w:rPr>
                <w:rFonts w:ascii="Arial" w:hAnsi="Arial" w:cs="Arial"/>
                <w:noProof/>
                <w:color w:val="415364"/>
                <w:sz w:val="16"/>
                <w:szCs w:val="16"/>
              </w:rPr>
              <w:t>2</w:t>
            </w:r>
            <w:r w:rsidR="00945A1E" w:rsidRPr="009A59C4">
              <w:rPr>
                <w:rFonts w:ascii="Arial" w:hAnsi="Arial" w:cs="Arial"/>
                <w:color w:val="415364"/>
                <w:sz w:val="16"/>
                <w:szCs w:val="16"/>
              </w:rPr>
              <w:fldChar w:fldCharType="end"/>
            </w:r>
          </w:p>
        </w:sdtContent>
      </w:sdt>
    </w:sdtContent>
  </w:sdt>
  <w:p w14:paraId="522DD311" w14:textId="77777777" w:rsidR="0079691E" w:rsidRPr="009A59C4" w:rsidRDefault="0079691E">
    <w:pPr>
      <w:pStyle w:val="Footer"/>
      <w:rPr>
        <w:rFonts w:ascii="Arial" w:hAnsi="Arial" w:cs="Arial"/>
        <w:color w:val="415364"/>
      </w:rPr>
    </w:pPr>
    <w:r w:rsidRPr="009A59C4">
      <w:rPr>
        <w:rFonts w:ascii="Arial" w:hAnsi="Arial" w:cs="Arial"/>
        <w:color w:val="415364"/>
        <w:sz w:val="14"/>
        <w:szCs w:val="14"/>
        <w:vertAlign w:val="superscript"/>
      </w:rPr>
      <w:t xml:space="preserve">®TM </w:t>
    </w:r>
    <w:r w:rsidRPr="009A59C4">
      <w:rPr>
        <w:rFonts w:ascii="Arial" w:hAnsi="Arial" w:cs="Arial"/>
        <w:color w:val="415364"/>
        <w:sz w:val="14"/>
        <w:szCs w:val="14"/>
      </w:rPr>
      <w:t>Trademark of The Dow Chemical Company (“Dow”) or an affiliated company of Dow</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BD73B" w14:textId="259577D6" w:rsidR="0079691E" w:rsidRPr="009A59C4" w:rsidRDefault="00A7537A" w:rsidP="00D6568A">
    <w:pPr>
      <w:pStyle w:val="Footer"/>
      <w:tabs>
        <w:tab w:val="clear" w:pos="4680"/>
        <w:tab w:val="clear" w:pos="9360"/>
        <w:tab w:val="left" w:pos="2175"/>
      </w:tabs>
      <w:rPr>
        <w:rFonts w:ascii="Arial" w:hAnsi="Arial" w:cs="Arial"/>
        <w:color w:val="415364"/>
        <w:sz w:val="16"/>
        <w:szCs w:val="16"/>
      </w:rPr>
    </w:pPr>
    <w:sdt>
      <w:sdtPr>
        <w:rPr>
          <w:sz w:val="16"/>
          <w:szCs w:val="16"/>
        </w:rPr>
        <w:id w:val="466633636"/>
        <w:docPartObj>
          <w:docPartGallery w:val="Page Numbers (Bottom of Page)"/>
          <w:docPartUnique/>
        </w:docPartObj>
      </w:sdtPr>
      <w:sdtEndPr>
        <w:rPr>
          <w:rFonts w:ascii="Arial" w:hAnsi="Arial" w:cs="Arial"/>
          <w:color w:val="415364"/>
        </w:rPr>
      </w:sdtEndPr>
      <w:sdtContent>
        <w:sdt>
          <w:sdtPr>
            <w:rPr>
              <w:rFonts w:ascii="Arial" w:hAnsi="Arial" w:cs="Arial"/>
              <w:color w:val="415364"/>
              <w:sz w:val="16"/>
              <w:szCs w:val="16"/>
            </w:rPr>
            <w:id w:val="1087511114"/>
            <w:docPartObj>
              <w:docPartGallery w:val="Page Numbers (Top of Page)"/>
              <w:docPartUnique/>
            </w:docPartObj>
          </w:sdtPr>
          <w:sdtEndPr/>
          <w:sdtContent>
            <w:r w:rsidR="0079691E" w:rsidRPr="009A59C4">
              <w:rPr>
                <w:rFonts w:ascii="Arial" w:hAnsi="Arial" w:cs="Arial"/>
                <w:color w:val="415364"/>
                <w:sz w:val="16"/>
                <w:szCs w:val="16"/>
              </w:rPr>
              <w:t xml:space="preserve">Page </w:t>
            </w:r>
            <w:r w:rsidR="00945A1E" w:rsidRPr="009A59C4">
              <w:rPr>
                <w:rFonts w:ascii="Arial" w:hAnsi="Arial" w:cs="Arial"/>
                <w:color w:val="415364"/>
                <w:sz w:val="16"/>
                <w:szCs w:val="16"/>
              </w:rPr>
              <w:fldChar w:fldCharType="begin"/>
            </w:r>
            <w:r w:rsidR="0079691E" w:rsidRPr="009A59C4">
              <w:rPr>
                <w:rFonts w:ascii="Arial" w:hAnsi="Arial" w:cs="Arial"/>
                <w:color w:val="415364"/>
                <w:sz w:val="16"/>
                <w:szCs w:val="16"/>
              </w:rPr>
              <w:instrText xml:space="preserve"> PAGE </w:instrText>
            </w:r>
            <w:r w:rsidR="00945A1E" w:rsidRPr="009A59C4">
              <w:rPr>
                <w:rFonts w:ascii="Arial" w:hAnsi="Arial" w:cs="Arial"/>
                <w:color w:val="415364"/>
                <w:sz w:val="16"/>
                <w:szCs w:val="16"/>
              </w:rPr>
              <w:fldChar w:fldCharType="separate"/>
            </w:r>
            <w:r w:rsidR="00703A97">
              <w:rPr>
                <w:rFonts w:ascii="Arial" w:hAnsi="Arial" w:cs="Arial"/>
                <w:noProof/>
                <w:color w:val="415364"/>
                <w:sz w:val="16"/>
                <w:szCs w:val="16"/>
              </w:rPr>
              <w:t>1</w:t>
            </w:r>
            <w:r w:rsidR="00945A1E" w:rsidRPr="009A59C4">
              <w:rPr>
                <w:rFonts w:ascii="Arial" w:hAnsi="Arial" w:cs="Arial"/>
                <w:color w:val="415364"/>
                <w:sz w:val="16"/>
                <w:szCs w:val="16"/>
              </w:rPr>
              <w:fldChar w:fldCharType="end"/>
            </w:r>
            <w:r w:rsidR="0079691E" w:rsidRPr="009A59C4">
              <w:rPr>
                <w:rFonts w:ascii="Arial" w:hAnsi="Arial" w:cs="Arial"/>
                <w:color w:val="415364"/>
                <w:sz w:val="16"/>
                <w:szCs w:val="16"/>
              </w:rPr>
              <w:t xml:space="preserve"> of </w:t>
            </w:r>
            <w:r w:rsidR="00945A1E" w:rsidRPr="009A59C4">
              <w:rPr>
                <w:rFonts w:ascii="Arial" w:hAnsi="Arial" w:cs="Arial"/>
                <w:color w:val="415364"/>
                <w:sz w:val="16"/>
                <w:szCs w:val="16"/>
              </w:rPr>
              <w:fldChar w:fldCharType="begin"/>
            </w:r>
            <w:r w:rsidR="0079691E" w:rsidRPr="009A59C4">
              <w:rPr>
                <w:rFonts w:ascii="Arial" w:hAnsi="Arial" w:cs="Arial"/>
                <w:color w:val="415364"/>
                <w:sz w:val="16"/>
                <w:szCs w:val="16"/>
              </w:rPr>
              <w:instrText xml:space="preserve"> NUMPAGES  </w:instrText>
            </w:r>
            <w:r w:rsidR="00945A1E" w:rsidRPr="009A59C4">
              <w:rPr>
                <w:rFonts w:ascii="Arial" w:hAnsi="Arial" w:cs="Arial"/>
                <w:color w:val="415364"/>
                <w:sz w:val="16"/>
                <w:szCs w:val="16"/>
              </w:rPr>
              <w:fldChar w:fldCharType="separate"/>
            </w:r>
            <w:r w:rsidR="00703A97">
              <w:rPr>
                <w:rFonts w:ascii="Arial" w:hAnsi="Arial" w:cs="Arial"/>
                <w:noProof/>
                <w:color w:val="415364"/>
                <w:sz w:val="16"/>
                <w:szCs w:val="16"/>
              </w:rPr>
              <w:t>2</w:t>
            </w:r>
            <w:r w:rsidR="00945A1E" w:rsidRPr="009A59C4">
              <w:rPr>
                <w:rFonts w:ascii="Arial" w:hAnsi="Arial" w:cs="Arial"/>
                <w:color w:val="415364"/>
                <w:sz w:val="16"/>
                <w:szCs w:val="16"/>
              </w:rPr>
              <w:fldChar w:fldCharType="end"/>
            </w:r>
          </w:sdtContent>
        </w:sdt>
      </w:sdtContent>
    </w:sdt>
    <w:r w:rsidR="0079691E" w:rsidRPr="009A59C4">
      <w:rPr>
        <w:rFonts w:ascii="Arial" w:hAnsi="Arial" w:cs="Arial"/>
        <w:color w:val="415364"/>
        <w:sz w:val="16"/>
        <w:szCs w:val="16"/>
      </w:rPr>
      <w:tab/>
    </w:r>
  </w:p>
  <w:p w14:paraId="2ECCB978" w14:textId="77777777" w:rsidR="0079691E" w:rsidRPr="009A59C4" w:rsidRDefault="0079691E">
    <w:pPr>
      <w:pStyle w:val="Footer"/>
      <w:rPr>
        <w:rFonts w:ascii="Arial" w:hAnsi="Arial" w:cs="Arial"/>
        <w:color w:val="415364"/>
      </w:rPr>
    </w:pPr>
    <w:r w:rsidRPr="009A59C4">
      <w:rPr>
        <w:rFonts w:ascii="Arial" w:hAnsi="Arial" w:cs="Arial"/>
        <w:color w:val="415364"/>
        <w:sz w:val="14"/>
        <w:szCs w:val="14"/>
        <w:vertAlign w:val="superscript"/>
      </w:rPr>
      <w:t xml:space="preserve">®TM </w:t>
    </w:r>
    <w:r w:rsidRPr="009A59C4">
      <w:rPr>
        <w:rFonts w:ascii="Arial" w:hAnsi="Arial" w:cs="Arial"/>
        <w:color w:val="415364"/>
        <w:sz w:val="14"/>
        <w:szCs w:val="14"/>
      </w:rPr>
      <w:t>Trademark of The Dow Chemical Company (“Dow”) or an affiliated company of Dow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07847" w14:textId="77777777" w:rsidR="00A7537A" w:rsidRDefault="00A7537A" w:rsidP="00094F76">
      <w:pPr>
        <w:spacing w:after="0" w:line="240" w:lineRule="auto"/>
      </w:pPr>
      <w:r>
        <w:separator/>
      </w:r>
    </w:p>
  </w:footnote>
  <w:footnote w:type="continuationSeparator" w:id="0">
    <w:p w14:paraId="133E9957" w14:textId="77777777" w:rsidR="00A7537A" w:rsidRDefault="00A7537A" w:rsidP="00094F76">
      <w:pPr>
        <w:spacing w:after="0" w:line="240" w:lineRule="auto"/>
      </w:pPr>
      <w:r>
        <w:continuationSeparator/>
      </w:r>
    </w:p>
  </w:footnote>
  <w:footnote w:type="continuationNotice" w:id="1">
    <w:p w14:paraId="41F425E2" w14:textId="77777777" w:rsidR="00A7537A" w:rsidRDefault="00A753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96A69" w14:textId="77777777" w:rsidR="005E5767" w:rsidRDefault="005E57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F42D2" w14:textId="31026400" w:rsidR="00E60E8C" w:rsidRPr="00E60E8C" w:rsidRDefault="00F20426" w:rsidP="00E60E8C">
    <w:pPr>
      <w:pStyle w:val="Header"/>
      <w:rPr>
        <w:rFonts w:ascii="Arial" w:hAnsi="Arial" w:cs="Arial"/>
        <w:bCs/>
        <w:color w:val="829995" w:themeColor="accent3"/>
        <w:sz w:val="20"/>
        <w:szCs w:val="20"/>
      </w:rPr>
    </w:pPr>
    <w:r w:rsidRPr="00F20426">
      <w:rPr>
        <w:rFonts w:ascii="Arial" w:hAnsi="Arial" w:cs="Arial"/>
        <w:bCs/>
        <w:color w:val="829995" w:themeColor="accent3"/>
        <w:sz w:val="20"/>
        <w:szCs w:val="20"/>
      </w:rPr>
      <w:t>Dow partners with SCG to sustainably tackle plastic waste by developing recycling and renewable solutions to build the circular plastic economy</w:t>
    </w:r>
  </w:p>
  <w:p w14:paraId="223F725B" w14:textId="77777777" w:rsidR="00E13041" w:rsidRPr="00433560" w:rsidRDefault="00E13041" w:rsidP="000D237A">
    <w:pPr>
      <w:pStyle w:val="Header"/>
      <w:rPr>
        <w:rFonts w:ascii="Arial" w:hAnsi="Arial" w:cs="Arial"/>
        <w:color w:val="829995" w:themeColor="accent3"/>
      </w:rPr>
    </w:pPr>
    <w:r w:rsidRPr="00433560">
      <w:rPr>
        <w:rFonts w:ascii="Arial" w:hAnsi="Arial" w:cs="Arial"/>
        <w:color w:val="829995" w:themeColor="accent3"/>
      </w:rPr>
      <w:t>__</w:t>
    </w:r>
  </w:p>
  <w:p w14:paraId="7712DD01" w14:textId="77777777" w:rsidR="000D237A" w:rsidRPr="000D237A" w:rsidRDefault="000D237A" w:rsidP="000D23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EC0B2" w14:textId="798BC758" w:rsidR="0079691E" w:rsidRDefault="004D6850">
    <w:pPr>
      <w:pStyle w:val="Header"/>
    </w:pPr>
    <w:r>
      <w:t xml:space="preserve">        </w:t>
    </w:r>
  </w:p>
  <w:p w14:paraId="7C530F0E" w14:textId="1D763959" w:rsidR="0079691E" w:rsidRDefault="004D6850">
    <w:pPr>
      <w:pStyle w:val="Header"/>
    </w:pPr>
    <w:r w:rsidRPr="0075466C">
      <w:rPr>
        <w:noProof/>
        <w:lang w:bidi="th-TH"/>
      </w:rPr>
      <w:drawing>
        <wp:inline distT="0" distB="0" distL="0" distR="0" wp14:anchorId="5B82DE34" wp14:editId="469346AF">
          <wp:extent cx="3078480" cy="586740"/>
          <wp:effectExtent l="0" t="0" r="762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78480" cy="586740"/>
                  </a:xfrm>
                  <a:prstGeom prst="rect">
                    <a:avLst/>
                  </a:prstGeom>
                  <a:noFill/>
                  <a:ln>
                    <a:noFill/>
                  </a:ln>
                </pic:spPr>
              </pic:pic>
            </a:graphicData>
          </a:graphic>
        </wp:inline>
      </w:drawing>
    </w:r>
  </w:p>
  <w:p w14:paraId="1975743D" w14:textId="77777777" w:rsidR="0079691E" w:rsidRDefault="0079691E">
    <w:pPr>
      <w:pStyle w:val="Header"/>
    </w:pPr>
  </w:p>
  <w:p w14:paraId="49F90E38" w14:textId="6FB3176D" w:rsidR="0079691E" w:rsidRPr="002C2965" w:rsidRDefault="0079691E">
    <w:pPr>
      <w:pStyle w:val="Header"/>
    </w:pPr>
  </w:p>
  <w:p w14:paraId="72A34DD0" w14:textId="77777777" w:rsidR="0079691E" w:rsidRDefault="0079691E">
    <w:pPr>
      <w:pStyle w:val="Header"/>
    </w:pPr>
  </w:p>
  <w:p w14:paraId="7DED0BBC" w14:textId="77777777" w:rsidR="00D350A3" w:rsidRPr="002C2965" w:rsidRDefault="00D350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C003E3"/>
    <w:multiLevelType w:val="hybridMultilevel"/>
    <w:tmpl w:val="BB6A7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F7A5C34"/>
    <w:multiLevelType w:val="hybridMultilevel"/>
    <w:tmpl w:val="DDA46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FB82C75"/>
    <w:multiLevelType w:val="hybridMultilevel"/>
    <w:tmpl w:val="5C7A3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020"/>
    <w:rsid w:val="0000161B"/>
    <w:rsid w:val="00001790"/>
    <w:rsid w:val="00005F10"/>
    <w:rsid w:val="0000607F"/>
    <w:rsid w:val="000071AC"/>
    <w:rsid w:val="00015E5D"/>
    <w:rsid w:val="000333FB"/>
    <w:rsid w:val="00062D1E"/>
    <w:rsid w:val="00064FD8"/>
    <w:rsid w:val="00066685"/>
    <w:rsid w:val="00066F8F"/>
    <w:rsid w:val="00094F60"/>
    <w:rsid w:val="00094F76"/>
    <w:rsid w:val="00097A99"/>
    <w:rsid w:val="000B0E41"/>
    <w:rsid w:val="000B183A"/>
    <w:rsid w:val="000B25A3"/>
    <w:rsid w:val="000B3F11"/>
    <w:rsid w:val="000B54CA"/>
    <w:rsid w:val="000B5727"/>
    <w:rsid w:val="000C26C1"/>
    <w:rsid w:val="000C2DE5"/>
    <w:rsid w:val="000C6629"/>
    <w:rsid w:val="000D237A"/>
    <w:rsid w:val="00102094"/>
    <w:rsid w:val="00110DAC"/>
    <w:rsid w:val="00116B83"/>
    <w:rsid w:val="00126BB5"/>
    <w:rsid w:val="0014083B"/>
    <w:rsid w:val="00145F0E"/>
    <w:rsid w:val="001616AD"/>
    <w:rsid w:val="0017031D"/>
    <w:rsid w:val="0018571F"/>
    <w:rsid w:val="00190E90"/>
    <w:rsid w:val="00197DDA"/>
    <w:rsid w:val="001A5C7E"/>
    <w:rsid w:val="001B1C92"/>
    <w:rsid w:val="001D019A"/>
    <w:rsid w:val="001E32F5"/>
    <w:rsid w:val="001E3E41"/>
    <w:rsid w:val="001F676E"/>
    <w:rsid w:val="00223950"/>
    <w:rsid w:val="0022427A"/>
    <w:rsid w:val="00225ACA"/>
    <w:rsid w:val="002278D1"/>
    <w:rsid w:val="0024224B"/>
    <w:rsid w:val="002447ED"/>
    <w:rsid w:val="0026349A"/>
    <w:rsid w:val="00274FC6"/>
    <w:rsid w:val="002754D1"/>
    <w:rsid w:val="00280C6B"/>
    <w:rsid w:val="002B0FB4"/>
    <w:rsid w:val="002C0967"/>
    <w:rsid w:val="002C2965"/>
    <w:rsid w:val="002D5CEE"/>
    <w:rsid w:val="002D5FB5"/>
    <w:rsid w:val="002E5E05"/>
    <w:rsid w:val="00320491"/>
    <w:rsid w:val="00320942"/>
    <w:rsid w:val="003345BC"/>
    <w:rsid w:val="003363AC"/>
    <w:rsid w:val="00365D0E"/>
    <w:rsid w:val="003740B4"/>
    <w:rsid w:val="00383030"/>
    <w:rsid w:val="003A435B"/>
    <w:rsid w:val="003B36A8"/>
    <w:rsid w:val="003C2372"/>
    <w:rsid w:val="003C3A16"/>
    <w:rsid w:val="003D0BE5"/>
    <w:rsid w:val="003D2132"/>
    <w:rsid w:val="003D359B"/>
    <w:rsid w:val="003D3A1A"/>
    <w:rsid w:val="003D61F1"/>
    <w:rsid w:val="003D738E"/>
    <w:rsid w:val="003E69B2"/>
    <w:rsid w:val="003F6A78"/>
    <w:rsid w:val="00402A5F"/>
    <w:rsid w:val="00404270"/>
    <w:rsid w:val="00410633"/>
    <w:rsid w:val="00433560"/>
    <w:rsid w:val="00435426"/>
    <w:rsid w:val="004404E4"/>
    <w:rsid w:val="00446960"/>
    <w:rsid w:val="004478B7"/>
    <w:rsid w:val="004561B6"/>
    <w:rsid w:val="00467C08"/>
    <w:rsid w:val="00474FFB"/>
    <w:rsid w:val="00485320"/>
    <w:rsid w:val="004C2919"/>
    <w:rsid w:val="004C37FC"/>
    <w:rsid w:val="004D518D"/>
    <w:rsid w:val="004D6850"/>
    <w:rsid w:val="004E3691"/>
    <w:rsid w:val="004E4994"/>
    <w:rsid w:val="004E7F6E"/>
    <w:rsid w:val="004F6494"/>
    <w:rsid w:val="00500CC8"/>
    <w:rsid w:val="00534259"/>
    <w:rsid w:val="005613DB"/>
    <w:rsid w:val="00565F02"/>
    <w:rsid w:val="00581400"/>
    <w:rsid w:val="005A4510"/>
    <w:rsid w:val="005A5233"/>
    <w:rsid w:val="005B231D"/>
    <w:rsid w:val="005D5A2A"/>
    <w:rsid w:val="005D70EA"/>
    <w:rsid w:val="005E2E06"/>
    <w:rsid w:val="005E5767"/>
    <w:rsid w:val="005F233A"/>
    <w:rsid w:val="0061155B"/>
    <w:rsid w:val="00616236"/>
    <w:rsid w:val="006265B5"/>
    <w:rsid w:val="00656024"/>
    <w:rsid w:val="00656732"/>
    <w:rsid w:val="00677668"/>
    <w:rsid w:val="00685E26"/>
    <w:rsid w:val="006872D1"/>
    <w:rsid w:val="006A1FF7"/>
    <w:rsid w:val="006A316B"/>
    <w:rsid w:val="006A6184"/>
    <w:rsid w:val="00700281"/>
    <w:rsid w:val="00703A97"/>
    <w:rsid w:val="007145CE"/>
    <w:rsid w:val="00734F00"/>
    <w:rsid w:val="00746AC9"/>
    <w:rsid w:val="00750A1E"/>
    <w:rsid w:val="00757EC2"/>
    <w:rsid w:val="00762712"/>
    <w:rsid w:val="00790B78"/>
    <w:rsid w:val="0079691E"/>
    <w:rsid w:val="007B38C2"/>
    <w:rsid w:val="007B43A2"/>
    <w:rsid w:val="007B5009"/>
    <w:rsid w:val="007E01D4"/>
    <w:rsid w:val="007F6DED"/>
    <w:rsid w:val="00801E96"/>
    <w:rsid w:val="00802C85"/>
    <w:rsid w:val="0080741E"/>
    <w:rsid w:val="00807CF7"/>
    <w:rsid w:val="00807DB8"/>
    <w:rsid w:val="00810F1A"/>
    <w:rsid w:val="008219BC"/>
    <w:rsid w:val="00852F27"/>
    <w:rsid w:val="008567A9"/>
    <w:rsid w:val="008573B4"/>
    <w:rsid w:val="008658F5"/>
    <w:rsid w:val="0086792E"/>
    <w:rsid w:val="00872E9F"/>
    <w:rsid w:val="008755A7"/>
    <w:rsid w:val="00876E5F"/>
    <w:rsid w:val="008853A0"/>
    <w:rsid w:val="008A7993"/>
    <w:rsid w:val="008B25B6"/>
    <w:rsid w:val="008B5891"/>
    <w:rsid w:val="008B60D6"/>
    <w:rsid w:val="008B654D"/>
    <w:rsid w:val="008B6732"/>
    <w:rsid w:val="008C1317"/>
    <w:rsid w:val="008C3048"/>
    <w:rsid w:val="008C71FF"/>
    <w:rsid w:val="008D0499"/>
    <w:rsid w:val="008D2D1B"/>
    <w:rsid w:val="008E4196"/>
    <w:rsid w:val="008E4AD7"/>
    <w:rsid w:val="008E6A3F"/>
    <w:rsid w:val="008F7B5A"/>
    <w:rsid w:val="008F7EC9"/>
    <w:rsid w:val="009013AC"/>
    <w:rsid w:val="009051D0"/>
    <w:rsid w:val="00930B47"/>
    <w:rsid w:val="00933858"/>
    <w:rsid w:val="009420DE"/>
    <w:rsid w:val="0094582B"/>
    <w:rsid w:val="00945A1E"/>
    <w:rsid w:val="009518FC"/>
    <w:rsid w:val="00956EC6"/>
    <w:rsid w:val="00957C1B"/>
    <w:rsid w:val="00965D04"/>
    <w:rsid w:val="00972232"/>
    <w:rsid w:val="00976D3B"/>
    <w:rsid w:val="00993607"/>
    <w:rsid w:val="009A59C4"/>
    <w:rsid w:val="009A6D38"/>
    <w:rsid w:val="009B3254"/>
    <w:rsid w:val="009C2880"/>
    <w:rsid w:val="009F2F62"/>
    <w:rsid w:val="009F58F1"/>
    <w:rsid w:val="00A0347C"/>
    <w:rsid w:val="00A049EE"/>
    <w:rsid w:val="00A114C1"/>
    <w:rsid w:val="00A17F14"/>
    <w:rsid w:val="00A2263B"/>
    <w:rsid w:val="00A25F97"/>
    <w:rsid w:val="00A2642F"/>
    <w:rsid w:val="00A337BC"/>
    <w:rsid w:val="00A422E2"/>
    <w:rsid w:val="00A618FE"/>
    <w:rsid w:val="00A7537A"/>
    <w:rsid w:val="00A76273"/>
    <w:rsid w:val="00AA0CA2"/>
    <w:rsid w:val="00AA0DD4"/>
    <w:rsid w:val="00AA34F1"/>
    <w:rsid w:val="00AA353C"/>
    <w:rsid w:val="00AA515D"/>
    <w:rsid w:val="00AD4273"/>
    <w:rsid w:val="00AD67DA"/>
    <w:rsid w:val="00AE4FCC"/>
    <w:rsid w:val="00AE71CF"/>
    <w:rsid w:val="00AF33A0"/>
    <w:rsid w:val="00AF4E89"/>
    <w:rsid w:val="00AF528F"/>
    <w:rsid w:val="00B01686"/>
    <w:rsid w:val="00B0190A"/>
    <w:rsid w:val="00B03457"/>
    <w:rsid w:val="00B15CBD"/>
    <w:rsid w:val="00B23645"/>
    <w:rsid w:val="00B23857"/>
    <w:rsid w:val="00B3334C"/>
    <w:rsid w:val="00B45A4E"/>
    <w:rsid w:val="00B474C1"/>
    <w:rsid w:val="00B57E96"/>
    <w:rsid w:val="00B62ED4"/>
    <w:rsid w:val="00B80FA2"/>
    <w:rsid w:val="00B87CCC"/>
    <w:rsid w:val="00BA5549"/>
    <w:rsid w:val="00BA5A8F"/>
    <w:rsid w:val="00BB1082"/>
    <w:rsid w:val="00BC47D5"/>
    <w:rsid w:val="00BD132B"/>
    <w:rsid w:val="00BD2921"/>
    <w:rsid w:val="00BE4625"/>
    <w:rsid w:val="00BE511D"/>
    <w:rsid w:val="00BF31CE"/>
    <w:rsid w:val="00C30176"/>
    <w:rsid w:val="00C31C33"/>
    <w:rsid w:val="00C4192E"/>
    <w:rsid w:val="00C45721"/>
    <w:rsid w:val="00C61842"/>
    <w:rsid w:val="00C645F2"/>
    <w:rsid w:val="00C77813"/>
    <w:rsid w:val="00C92C3A"/>
    <w:rsid w:val="00CA669E"/>
    <w:rsid w:val="00CB633A"/>
    <w:rsid w:val="00CC57A4"/>
    <w:rsid w:val="00CD4964"/>
    <w:rsid w:val="00D01D01"/>
    <w:rsid w:val="00D05066"/>
    <w:rsid w:val="00D350A3"/>
    <w:rsid w:val="00D400B0"/>
    <w:rsid w:val="00D40923"/>
    <w:rsid w:val="00D46170"/>
    <w:rsid w:val="00D612F9"/>
    <w:rsid w:val="00D6568A"/>
    <w:rsid w:val="00D65FD4"/>
    <w:rsid w:val="00D77F8F"/>
    <w:rsid w:val="00D81916"/>
    <w:rsid w:val="00D83CA8"/>
    <w:rsid w:val="00DA4020"/>
    <w:rsid w:val="00DB561E"/>
    <w:rsid w:val="00DC4D72"/>
    <w:rsid w:val="00DC661B"/>
    <w:rsid w:val="00E03B33"/>
    <w:rsid w:val="00E07463"/>
    <w:rsid w:val="00E13041"/>
    <w:rsid w:val="00E13426"/>
    <w:rsid w:val="00E154DD"/>
    <w:rsid w:val="00E16FC3"/>
    <w:rsid w:val="00E230B0"/>
    <w:rsid w:val="00E23C5D"/>
    <w:rsid w:val="00E364DA"/>
    <w:rsid w:val="00E379E3"/>
    <w:rsid w:val="00E41BC7"/>
    <w:rsid w:val="00E529CE"/>
    <w:rsid w:val="00E54A62"/>
    <w:rsid w:val="00E60E8C"/>
    <w:rsid w:val="00EA4295"/>
    <w:rsid w:val="00EA6E8D"/>
    <w:rsid w:val="00EB4B38"/>
    <w:rsid w:val="00EC39A8"/>
    <w:rsid w:val="00EC6A1D"/>
    <w:rsid w:val="00F01691"/>
    <w:rsid w:val="00F02EFE"/>
    <w:rsid w:val="00F0689D"/>
    <w:rsid w:val="00F1097D"/>
    <w:rsid w:val="00F12DC4"/>
    <w:rsid w:val="00F17840"/>
    <w:rsid w:val="00F20426"/>
    <w:rsid w:val="00F35112"/>
    <w:rsid w:val="00F671C9"/>
    <w:rsid w:val="00F965E7"/>
    <w:rsid w:val="00FB0ED9"/>
    <w:rsid w:val="00FB5F7E"/>
    <w:rsid w:val="00FE07BF"/>
    <w:rsid w:val="00FE75B3"/>
    <w:rsid w:val="00FF783B"/>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F849A"/>
  <w15:docId w15:val="{5B7213B6-817F-47DD-BF26-13F395635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Body">
    <w:name w:val="Letter Body"/>
    <w:qFormat/>
    <w:rsid w:val="00E154DD"/>
    <w:pPr>
      <w:spacing w:after="0" w:line="240" w:lineRule="exact"/>
    </w:pPr>
    <w:rPr>
      <w:rFonts w:ascii="Arial" w:eastAsiaTheme="minorEastAsia" w:hAnsi="Arial"/>
      <w:sz w:val="20"/>
      <w:szCs w:val="24"/>
    </w:rPr>
  </w:style>
  <w:style w:type="paragraph" w:customStyle="1" w:styleId="ContactInformation">
    <w:name w:val="Contact Information"/>
    <w:basedOn w:val="LetterBody"/>
    <w:qFormat/>
    <w:rsid w:val="00E154DD"/>
    <w:pPr>
      <w:tabs>
        <w:tab w:val="left" w:pos="5040"/>
      </w:tabs>
    </w:pPr>
  </w:style>
  <w:style w:type="paragraph" w:customStyle="1" w:styleId="MainHeadline">
    <w:name w:val="Main Headline"/>
    <w:qFormat/>
    <w:rsid w:val="00E154DD"/>
    <w:pPr>
      <w:spacing w:after="240" w:line="320" w:lineRule="exact"/>
    </w:pPr>
    <w:rPr>
      <w:rFonts w:ascii="Arial" w:eastAsiaTheme="minorEastAsia" w:hAnsi="Arial" w:cs="Arial"/>
      <w:b/>
      <w:sz w:val="28"/>
      <w:szCs w:val="28"/>
    </w:rPr>
  </w:style>
  <w:style w:type="paragraph" w:customStyle="1" w:styleId="SecondaryHeadline">
    <w:name w:val="Secondary Headline"/>
    <w:basedOn w:val="MainHeadline"/>
    <w:qFormat/>
    <w:rsid w:val="00E154DD"/>
    <w:pPr>
      <w:spacing w:line="280" w:lineRule="exact"/>
    </w:pPr>
    <w:rPr>
      <w:sz w:val="24"/>
    </w:rPr>
  </w:style>
  <w:style w:type="paragraph" w:customStyle="1" w:styleId="BodySubhead">
    <w:name w:val="Body Subhead"/>
    <w:basedOn w:val="LetterBody"/>
    <w:qFormat/>
    <w:rsid w:val="00E154DD"/>
    <w:pPr>
      <w:keepNext/>
      <w:keepLines/>
    </w:pPr>
    <w:rPr>
      <w:b/>
    </w:rPr>
  </w:style>
  <w:style w:type="character" w:styleId="Hyperlink">
    <w:name w:val="Hyperlink"/>
    <w:basedOn w:val="DefaultParagraphFont"/>
    <w:uiPriority w:val="99"/>
    <w:unhideWhenUsed/>
    <w:rsid w:val="00094F76"/>
    <w:rPr>
      <w:color w:val="E80033"/>
      <w:u w:val="none"/>
    </w:rPr>
  </w:style>
  <w:style w:type="paragraph" w:customStyle="1" w:styleId="SocialMedia">
    <w:name w:val="Social Media"/>
    <w:basedOn w:val="Normal"/>
    <w:qFormat/>
    <w:rsid w:val="00E154DD"/>
    <w:pPr>
      <w:tabs>
        <w:tab w:val="left" w:pos="450"/>
        <w:tab w:val="left" w:pos="900"/>
        <w:tab w:val="left" w:pos="1350"/>
      </w:tabs>
      <w:spacing w:before="720" w:after="0" w:line="360" w:lineRule="exact"/>
    </w:pPr>
    <w:rPr>
      <w:rFonts w:ascii="Arial" w:eastAsiaTheme="minorEastAsia" w:hAnsi="Arial"/>
      <w:noProof/>
      <w:sz w:val="20"/>
      <w:szCs w:val="24"/>
    </w:rPr>
  </w:style>
  <w:style w:type="paragraph" w:customStyle="1" w:styleId="NRBodyText">
    <w:name w:val="NR Body Text"/>
    <w:uiPriority w:val="99"/>
    <w:rsid w:val="00094F76"/>
    <w:pPr>
      <w:spacing w:after="240" w:line="480" w:lineRule="exact"/>
    </w:pPr>
    <w:rPr>
      <w:rFonts w:ascii="Times New Roman" w:eastAsia="Times New Roman" w:hAnsi="Times New Roman" w:cs="Times New Roman"/>
      <w:noProof/>
      <w:sz w:val="24"/>
      <w:szCs w:val="24"/>
    </w:rPr>
  </w:style>
  <w:style w:type="paragraph" w:styleId="BalloonText">
    <w:name w:val="Balloon Text"/>
    <w:basedOn w:val="Normal"/>
    <w:link w:val="BalloonTextChar"/>
    <w:uiPriority w:val="99"/>
    <w:semiHidden/>
    <w:unhideWhenUsed/>
    <w:rsid w:val="00094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F76"/>
    <w:rPr>
      <w:rFonts w:ascii="Tahoma" w:hAnsi="Tahoma" w:cs="Tahoma"/>
      <w:sz w:val="16"/>
      <w:szCs w:val="16"/>
    </w:rPr>
  </w:style>
  <w:style w:type="paragraph" w:styleId="Header">
    <w:name w:val="header"/>
    <w:basedOn w:val="Normal"/>
    <w:link w:val="HeaderChar"/>
    <w:uiPriority w:val="99"/>
    <w:unhideWhenUsed/>
    <w:rsid w:val="00094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F76"/>
  </w:style>
  <w:style w:type="paragraph" w:styleId="Footer">
    <w:name w:val="footer"/>
    <w:basedOn w:val="Normal"/>
    <w:link w:val="FooterChar"/>
    <w:uiPriority w:val="99"/>
    <w:unhideWhenUsed/>
    <w:rsid w:val="00094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F76"/>
  </w:style>
  <w:style w:type="paragraph" w:customStyle="1" w:styleId="CorporateName">
    <w:name w:val="Corporate Name"/>
    <w:basedOn w:val="Normal"/>
    <w:next w:val="Normal"/>
    <w:qFormat/>
    <w:rsid w:val="00E154DD"/>
    <w:pPr>
      <w:spacing w:after="0" w:line="170" w:lineRule="exact"/>
    </w:pPr>
    <w:rPr>
      <w:rFonts w:ascii="Arial" w:eastAsiaTheme="minorEastAsia" w:hAnsi="Arial"/>
      <w:b/>
      <w:sz w:val="16"/>
      <w:szCs w:val="24"/>
    </w:rPr>
  </w:style>
  <w:style w:type="character" w:customStyle="1" w:styleId="RedType">
    <w:name w:val="Red Type"/>
    <w:basedOn w:val="DefaultParagraphFont"/>
    <w:uiPriority w:val="1"/>
    <w:qFormat/>
    <w:rsid w:val="00E154DD"/>
    <w:rPr>
      <w:color w:val="E80033"/>
    </w:rPr>
  </w:style>
  <w:style w:type="paragraph" w:customStyle="1" w:styleId="AddressLegal">
    <w:name w:val="Address/Legal"/>
    <w:basedOn w:val="Normal"/>
    <w:qFormat/>
    <w:rsid w:val="00E154DD"/>
    <w:pPr>
      <w:spacing w:after="0" w:line="170" w:lineRule="exact"/>
    </w:pPr>
    <w:rPr>
      <w:rFonts w:ascii="Arial" w:eastAsiaTheme="minorEastAsia" w:hAnsi="Arial"/>
      <w:sz w:val="16"/>
      <w:szCs w:val="24"/>
    </w:rPr>
  </w:style>
  <w:style w:type="paragraph" w:customStyle="1" w:styleId="PressRelease">
    <w:name w:val="Press Release"/>
    <w:basedOn w:val="CorporateName"/>
    <w:qFormat/>
    <w:rsid w:val="00E154DD"/>
    <w:pPr>
      <w:spacing w:after="468" w:line="240" w:lineRule="exact"/>
    </w:pPr>
    <w:rPr>
      <w:color w:val="E80033"/>
      <w:sz w:val="24"/>
    </w:rPr>
  </w:style>
  <w:style w:type="character" w:customStyle="1" w:styleId="apple-converted-space">
    <w:name w:val="apple-converted-space"/>
    <w:basedOn w:val="DefaultParagraphFont"/>
    <w:rsid w:val="004561B6"/>
  </w:style>
  <w:style w:type="character" w:styleId="CommentReference">
    <w:name w:val="annotation reference"/>
    <w:basedOn w:val="DefaultParagraphFont"/>
    <w:uiPriority w:val="99"/>
    <w:semiHidden/>
    <w:unhideWhenUsed/>
    <w:rsid w:val="00BA5A8F"/>
    <w:rPr>
      <w:sz w:val="16"/>
      <w:szCs w:val="16"/>
    </w:rPr>
  </w:style>
  <w:style w:type="paragraph" w:styleId="CommentText">
    <w:name w:val="annotation text"/>
    <w:basedOn w:val="Normal"/>
    <w:link w:val="CommentTextChar"/>
    <w:uiPriority w:val="99"/>
    <w:semiHidden/>
    <w:unhideWhenUsed/>
    <w:rsid w:val="00BA5A8F"/>
    <w:pPr>
      <w:spacing w:line="240" w:lineRule="auto"/>
    </w:pPr>
    <w:rPr>
      <w:sz w:val="20"/>
      <w:szCs w:val="20"/>
    </w:rPr>
  </w:style>
  <w:style w:type="character" w:customStyle="1" w:styleId="CommentTextChar">
    <w:name w:val="Comment Text Char"/>
    <w:basedOn w:val="DefaultParagraphFont"/>
    <w:link w:val="CommentText"/>
    <w:uiPriority w:val="99"/>
    <w:semiHidden/>
    <w:rsid w:val="00BA5A8F"/>
    <w:rPr>
      <w:sz w:val="20"/>
      <w:szCs w:val="20"/>
    </w:rPr>
  </w:style>
  <w:style w:type="paragraph" w:styleId="CommentSubject">
    <w:name w:val="annotation subject"/>
    <w:basedOn w:val="CommentText"/>
    <w:next w:val="CommentText"/>
    <w:link w:val="CommentSubjectChar"/>
    <w:uiPriority w:val="99"/>
    <w:semiHidden/>
    <w:unhideWhenUsed/>
    <w:rsid w:val="00BA5A8F"/>
    <w:rPr>
      <w:b/>
      <w:bCs/>
    </w:rPr>
  </w:style>
  <w:style w:type="character" w:customStyle="1" w:styleId="CommentSubjectChar">
    <w:name w:val="Comment Subject Char"/>
    <w:basedOn w:val="CommentTextChar"/>
    <w:link w:val="CommentSubject"/>
    <w:uiPriority w:val="99"/>
    <w:semiHidden/>
    <w:rsid w:val="00BA5A8F"/>
    <w:rPr>
      <w:b/>
      <w:bCs/>
      <w:sz w:val="20"/>
      <w:szCs w:val="20"/>
    </w:rPr>
  </w:style>
  <w:style w:type="paragraph" w:styleId="Revision">
    <w:name w:val="Revision"/>
    <w:hidden/>
    <w:uiPriority w:val="99"/>
    <w:semiHidden/>
    <w:rsid w:val="00404270"/>
    <w:pPr>
      <w:spacing w:after="0" w:line="240" w:lineRule="auto"/>
    </w:pPr>
  </w:style>
  <w:style w:type="character" w:styleId="FollowedHyperlink">
    <w:name w:val="FollowedHyperlink"/>
    <w:basedOn w:val="DefaultParagraphFont"/>
    <w:uiPriority w:val="99"/>
    <w:semiHidden/>
    <w:unhideWhenUsed/>
    <w:rsid w:val="0017031D"/>
    <w:rPr>
      <w:color w:val="829995" w:themeColor="followedHyperlink"/>
      <w:u w:val="single"/>
    </w:rPr>
  </w:style>
  <w:style w:type="paragraph" w:styleId="NormalWeb">
    <w:name w:val="Normal (Web)"/>
    <w:basedOn w:val="Normal"/>
    <w:uiPriority w:val="99"/>
    <w:semiHidden/>
    <w:unhideWhenUsed/>
    <w:rsid w:val="00A337BC"/>
    <w:pPr>
      <w:spacing w:before="100" w:beforeAutospacing="1" w:after="100" w:afterAutospacing="1" w:line="240" w:lineRule="auto"/>
    </w:pPr>
    <w:rPr>
      <w:rFonts w:ascii="Times New Roman" w:eastAsia="Times New Roman" w:hAnsi="Times New Roman" w:cs="Times New Roman"/>
      <w:sz w:val="24"/>
      <w:szCs w:val="24"/>
      <w:lang w:bidi="th-TH"/>
    </w:rPr>
  </w:style>
  <w:style w:type="character" w:styleId="Strong">
    <w:name w:val="Strong"/>
    <w:basedOn w:val="DefaultParagraphFont"/>
    <w:uiPriority w:val="22"/>
    <w:qFormat/>
    <w:rsid w:val="00A337BC"/>
    <w:rPr>
      <w:b/>
      <w:bCs/>
    </w:rPr>
  </w:style>
  <w:style w:type="table" w:styleId="TableGrid">
    <w:name w:val="Table Grid"/>
    <w:basedOn w:val="TableNormal"/>
    <w:uiPriority w:val="59"/>
    <w:rsid w:val="006A1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99677">
      <w:bodyDiv w:val="1"/>
      <w:marLeft w:val="0"/>
      <w:marRight w:val="0"/>
      <w:marTop w:val="0"/>
      <w:marBottom w:val="0"/>
      <w:divBdr>
        <w:top w:val="none" w:sz="0" w:space="0" w:color="auto"/>
        <w:left w:val="none" w:sz="0" w:space="0" w:color="auto"/>
        <w:bottom w:val="none" w:sz="0" w:space="0" w:color="auto"/>
        <w:right w:val="none" w:sz="0" w:space="0" w:color="auto"/>
      </w:divBdr>
      <w:divsChild>
        <w:div w:id="631712521">
          <w:marLeft w:val="0"/>
          <w:marRight w:val="0"/>
          <w:marTop w:val="0"/>
          <w:marBottom w:val="0"/>
          <w:divBdr>
            <w:top w:val="none" w:sz="0" w:space="0" w:color="auto"/>
            <w:left w:val="none" w:sz="0" w:space="0" w:color="auto"/>
            <w:bottom w:val="none" w:sz="0" w:space="0" w:color="auto"/>
            <w:right w:val="none" w:sz="0" w:space="0" w:color="auto"/>
          </w:divBdr>
          <w:divsChild>
            <w:div w:id="138693635">
              <w:marLeft w:val="0"/>
              <w:marRight w:val="0"/>
              <w:marTop w:val="0"/>
              <w:marBottom w:val="0"/>
              <w:divBdr>
                <w:top w:val="none" w:sz="0" w:space="0" w:color="auto"/>
                <w:left w:val="none" w:sz="0" w:space="0" w:color="auto"/>
                <w:bottom w:val="none" w:sz="0" w:space="0" w:color="auto"/>
                <w:right w:val="none" w:sz="0" w:space="0" w:color="auto"/>
              </w:divBdr>
              <w:divsChild>
                <w:div w:id="676690749">
                  <w:marLeft w:val="0"/>
                  <w:marRight w:val="0"/>
                  <w:marTop w:val="0"/>
                  <w:marBottom w:val="300"/>
                  <w:divBdr>
                    <w:top w:val="single" w:sz="36" w:space="0" w:color="000000"/>
                    <w:left w:val="none" w:sz="0" w:space="0" w:color="auto"/>
                    <w:bottom w:val="none" w:sz="0" w:space="0" w:color="auto"/>
                    <w:right w:val="none" w:sz="0" w:space="0" w:color="auto"/>
                  </w:divBdr>
                  <w:divsChild>
                    <w:div w:id="13596952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36790594">
      <w:bodyDiv w:val="1"/>
      <w:marLeft w:val="0"/>
      <w:marRight w:val="0"/>
      <w:marTop w:val="0"/>
      <w:marBottom w:val="0"/>
      <w:divBdr>
        <w:top w:val="none" w:sz="0" w:space="0" w:color="auto"/>
        <w:left w:val="none" w:sz="0" w:space="0" w:color="auto"/>
        <w:bottom w:val="none" w:sz="0" w:space="0" w:color="auto"/>
        <w:right w:val="none" w:sz="0" w:space="0" w:color="auto"/>
      </w:divBdr>
    </w:div>
    <w:div w:id="508836971">
      <w:bodyDiv w:val="1"/>
      <w:marLeft w:val="0"/>
      <w:marRight w:val="0"/>
      <w:marTop w:val="0"/>
      <w:marBottom w:val="0"/>
      <w:divBdr>
        <w:top w:val="none" w:sz="0" w:space="0" w:color="auto"/>
        <w:left w:val="none" w:sz="0" w:space="0" w:color="auto"/>
        <w:bottom w:val="none" w:sz="0" w:space="0" w:color="auto"/>
        <w:right w:val="none" w:sz="0" w:space="0" w:color="auto"/>
      </w:divBdr>
    </w:div>
    <w:div w:id="663045112">
      <w:bodyDiv w:val="1"/>
      <w:marLeft w:val="0"/>
      <w:marRight w:val="0"/>
      <w:marTop w:val="0"/>
      <w:marBottom w:val="0"/>
      <w:divBdr>
        <w:top w:val="none" w:sz="0" w:space="0" w:color="auto"/>
        <w:left w:val="none" w:sz="0" w:space="0" w:color="auto"/>
        <w:bottom w:val="none" w:sz="0" w:space="0" w:color="auto"/>
        <w:right w:val="none" w:sz="0" w:space="0" w:color="auto"/>
      </w:divBdr>
    </w:div>
    <w:div w:id="677391732">
      <w:bodyDiv w:val="1"/>
      <w:marLeft w:val="0"/>
      <w:marRight w:val="0"/>
      <w:marTop w:val="0"/>
      <w:marBottom w:val="0"/>
      <w:divBdr>
        <w:top w:val="none" w:sz="0" w:space="0" w:color="auto"/>
        <w:left w:val="none" w:sz="0" w:space="0" w:color="auto"/>
        <w:bottom w:val="none" w:sz="0" w:space="0" w:color="auto"/>
        <w:right w:val="none" w:sz="0" w:space="0" w:color="auto"/>
      </w:divBdr>
    </w:div>
    <w:div w:id="829515867">
      <w:bodyDiv w:val="1"/>
      <w:marLeft w:val="0"/>
      <w:marRight w:val="0"/>
      <w:marTop w:val="0"/>
      <w:marBottom w:val="0"/>
      <w:divBdr>
        <w:top w:val="none" w:sz="0" w:space="0" w:color="auto"/>
        <w:left w:val="none" w:sz="0" w:space="0" w:color="auto"/>
        <w:bottom w:val="none" w:sz="0" w:space="0" w:color="auto"/>
        <w:right w:val="none" w:sz="0" w:space="0" w:color="auto"/>
      </w:divBdr>
    </w:div>
    <w:div w:id="934627769">
      <w:bodyDiv w:val="1"/>
      <w:marLeft w:val="0"/>
      <w:marRight w:val="0"/>
      <w:marTop w:val="0"/>
      <w:marBottom w:val="0"/>
      <w:divBdr>
        <w:top w:val="none" w:sz="0" w:space="0" w:color="auto"/>
        <w:left w:val="none" w:sz="0" w:space="0" w:color="auto"/>
        <w:bottom w:val="none" w:sz="0" w:space="0" w:color="auto"/>
        <w:right w:val="none" w:sz="0" w:space="0" w:color="auto"/>
      </w:divBdr>
    </w:div>
    <w:div w:id="1275210228">
      <w:bodyDiv w:val="1"/>
      <w:marLeft w:val="0"/>
      <w:marRight w:val="0"/>
      <w:marTop w:val="0"/>
      <w:marBottom w:val="0"/>
      <w:divBdr>
        <w:top w:val="none" w:sz="0" w:space="0" w:color="auto"/>
        <w:left w:val="none" w:sz="0" w:space="0" w:color="auto"/>
        <w:bottom w:val="none" w:sz="0" w:space="0" w:color="auto"/>
        <w:right w:val="none" w:sz="0" w:space="0" w:color="auto"/>
      </w:divBdr>
    </w:div>
    <w:div w:id="1329167485">
      <w:bodyDiv w:val="1"/>
      <w:marLeft w:val="0"/>
      <w:marRight w:val="0"/>
      <w:marTop w:val="0"/>
      <w:marBottom w:val="0"/>
      <w:divBdr>
        <w:top w:val="none" w:sz="0" w:space="0" w:color="auto"/>
        <w:left w:val="none" w:sz="0" w:space="0" w:color="auto"/>
        <w:bottom w:val="none" w:sz="0" w:space="0" w:color="auto"/>
        <w:right w:val="none" w:sz="0" w:space="0" w:color="auto"/>
      </w:divBdr>
    </w:div>
    <w:div w:id="1691953579">
      <w:bodyDiv w:val="1"/>
      <w:marLeft w:val="0"/>
      <w:marRight w:val="0"/>
      <w:marTop w:val="0"/>
      <w:marBottom w:val="0"/>
      <w:divBdr>
        <w:top w:val="none" w:sz="0" w:space="0" w:color="auto"/>
        <w:left w:val="none" w:sz="0" w:space="0" w:color="auto"/>
        <w:bottom w:val="none" w:sz="0" w:space="0" w:color="auto"/>
        <w:right w:val="none" w:sz="0" w:space="0" w:color="auto"/>
      </w:divBdr>
    </w:div>
    <w:div w:id="19269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ow.com" TargetMode="External"/><Relationship Id="rId18" Type="http://schemas.openxmlformats.org/officeDocument/2006/relationships/hyperlink" Target="mailto:saranjic@scg.com"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ndplasticwaste.org" TargetMode="External"/><Relationship Id="rId17" Type="http://schemas.openxmlformats.org/officeDocument/2006/relationships/hyperlink" Target="mailto:skrotintakom@dow.com" TargetMode="External"/><Relationship Id="rId25" Type="http://schemas.openxmlformats.org/officeDocument/2006/relationships/image" Target="media/image4.png"/><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gartois@dow.com" TargetMode="External"/><Relationship Id="rId20" Type="http://schemas.openxmlformats.org/officeDocument/2006/relationships/hyperlink" Target="https://www.facebook.com/dow/"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dow.com/en-us/about/leadership/jim-fitterling" TargetMode="External"/><Relationship Id="rId24" Type="http://schemas.openxmlformats.org/officeDocument/2006/relationships/hyperlink" Target="http://instagram.com/dow_officia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scgchemicals.com" TargetMode="External"/><Relationship Id="rId23" Type="http://schemas.openxmlformats.org/officeDocument/2006/relationships/image" Target="media/image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DowNewsroom" TargetMode="External"/><Relationship Id="rId22" Type="http://schemas.openxmlformats.org/officeDocument/2006/relationships/hyperlink" Target="http://www.linkedin.com/company/dow-chemical" TargetMode="External"/><Relationship Id="rId27" Type="http://schemas.openxmlformats.org/officeDocument/2006/relationships/image" Target="media/image6.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550464\Documents\Custom%20Office%20Templates\New_Dow_News_Release_Template_2019-2.dotx" TargetMode="External"/></Relationships>
</file>

<file path=word/theme/theme1.xml><?xml version="1.0" encoding="utf-8"?>
<a:theme xmlns:a="http://schemas.openxmlformats.org/drawingml/2006/main" name="Office Theme">
  <a:themeElements>
    <a:clrScheme name="New Dow">
      <a:dk1>
        <a:sysClr val="windowText" lastClr="000000"/>
      </a:dk1>
      <a:lt1>
        <a:srgbClr val="FFFFFF"/>
      </a:lt1>
      <a:dk2>
        <a:srgbClr val="415364"/>
      </a:dk2>
      <a:lt2>
        <a:srgbClr val="E80033"/>
      </a:lt2>
      <a:accent1>
        <a:srgbClr val="193F5E"/>
      </a:accent1>
      <a:accent2>
        <a:srgbClr val="CBC5B5"/>
      </a:accent2>
      <a:accent3>
        <a:srgbClr val="829995"/>
      </a:accent3>
      <a:accent4>
        <a:srgbClr val="5E514D"/>
      </a:accent4>
      <a:accent5>
        <a:srgbClr val="00B2A9"/>
      </a:accent5>
      <a:accent6>
        <a:srgbClr val="FEBB12"/>
      </a:accent6>
      <a:hlink>
        <a:srgbClr val="E80033"/>
      </a:hlink>
      <a:folHlink>
        <a:srgbClr val="82999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opics xmlns="9c948518-1c42-4e63-bc4f-6e2671cbdd71">
      <Value>Media Team</Value>
    </Topics>
    <Type_x0020_of_x0020_Document xmlns="9c948518-1c42-4e63-bc4f-6e2671cbdd71">
      <Value>Template</Value>
    </Type_x0020_of_x0020_Documen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BE3E7893A9DA48A21DF064F2002203" ma:contentTypeVersion="3" ma:contentTypeDescription="Create a new document." ma:contentTypeScope="" ma:versionID="449947f3c78df4dede0d013c92d6dc01">
  <xsd:schema xmlns:xsd="http://www.w3.org/2001/XMLSchema" xmlns:xs="http://www.w3.org/2001/XMLSchema" xmlns:p="http://schemas.microsoft.com/office/2006/metadata/properties" xmlns:ns1="9c948518-1c42-4e63-bc4f-6e2671cbdd71" targetNamespace="http://schemas.microsoft.com/office/2006/metadata/properties" ma:root="true" ma:fieldsID="e01f3dcef132ead3e41f9ae716004ba6" ns1:_="">
    <xsd:import namespace="9c948518-1c42-4e63-bc4f-6e2671cbdd71"/>
    <xsd:element name="properties">
      <xsd:complexType>
        <xsd:sequence>
          <xsd:element name="documentManagement">
            <xsd:complexType>
              <xsd:all>
                <xsd:element ref="ns1:Type_x0020_of_x0020_Document" minOccurs="0"/>
                <xsd:element ref="ns1:Topic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48518-1c42-4e63-bc4f-6e2671cbdd71" elementFormDefault="qualified">
    <xsd:import namespace="http://schemas.microsoft.com/office/2006/documentManagement/types"/>
    <xsd:import namespace="http://schemas.microsoft.com/office/infopath/2007/PartnerControls"/>
    <xsd:element name="Type_x0020_of_x0020_Document" ma:index="0" nillable="true" ma:displayName="Type of Document" ma:default="Holding Statements" ma:internalName="Type_x0020_of_x0020_Document">
      <xsd:complexType>
        <xsd:complexContent>
          <xsd:extension base="dms:MultiChoice">
            <xsd:sequence>
              <xsd:element name="Value" maxOccurs="unbounded" minOccurs="0" nillable="true">
                <xsd:simpleType>
                  <xsd:restriction base="dms:Choice">
                    <xsd:enumeration value="Holding Statements"/>
                    <xsd:enumeration value="Communication Plan"/>
                    <xsd:enumeration value="Contract"/>
                    <xsd:enumeration value="Press releases"/>
                    <xsd:enumeration value="Q&amp;A Document"/>
                    <xsd:enumeration value="Briefing Materials"/>
                    <xsd:enumeration value="Online/Print Media Clips"/>
                    <xsd:enumeration value="Presentation"/>
                    <xsd:enumeration value="Video"/>
                    <xsd:enumeration value="Photo"/>
                    <xsd:enumeration value="Graphic"/>
                    <xsd:enumeration value="Misc. Document"/>
                    <xsd:enumeration value="Template"/>
                    <xsd:enumeration value="Report"/>
                    <xsd:enumeration value="Bio"/>
                    <xsd:enumeration value="Speeches"/>
                    <xsd:enumeration value="Strategy"/>
                  </xsd:restriction>
                </xsd:simpleType>
              </xsd:element>
            </xsd:sequence>
          </xsd:extension>
        </xsd:complexContent>
      </xsd:complexType>
    </xsd:element>
    <xsd:element name="Topics" ma:index="3" nillable="true" ma:displayName="Topics" ma:internalName="Topics" ma:requiredMultiChoice="true">
      <xsd:complexType>
        <xsd:complexContent>
          <xsd:extension base="dms:MultiChoice">
            <xsd:sequence>
              <xsd:element name="Value" maxOccurs="unbounded" minOccurs="0" nillable="true">
                <xsd:simpleType>
                  <xsd:restriction base="dms:Choice">
                    <xsd:enumeration value="Advanced Manufacturing"/>
                    <xsd:enumeration value="Asia Pacific Region"/>
                    <xsd:enumeration value="Auto/Cars"/>
                    <xsd:enumeration value="Business Services"/>
                    <xsd:enumeration value="Building and Construction"/>
                    <xsd:enumeration value="Carve Out"/>
                    <xsd:enumeration value="Chemicals"/>
                    <xsd:enumeration value="Coatings"/>
                    <xsd:enumeration value="Consumer &amp; Industrial Solutions"/>
                    <xsd:enumeration value="Corporate Citizenship"/>
                    <xsd:enumeration value="Corporate Events"/>
                    <xsd:enumeration value="Commercial"/>
                    <xsd:enumeration value="Delaware Valley"/>
                    <xsd:enumeration value="Diversity"/>
                    <xsd:enumeration value="Dow Agrosciences"/>
                    <xsd:enumeration value="Dow Agrosciences-Enlist"/>
                    <xsd:enumeration value="EH&amp;S"/>
                    <xsd:enumeration value="Elastomers"/>
                    <xsd:enumeration value="Electrical and Telecommunication"/>
                    <xsd:enumeration value="Electronic Materials"/>
                    <xsd:enumeration value="Energy"/>
                    <xsd:enumeration value="Epoxy"/>
                    <xsd:enumeration value="EO Derivatives"/>
                    <xsd:enumeration value="EMEA"/>
                    <xsd:enumeration value="Executive Leadership-ANL"/>
                    <xsd:enumeration value="Executive Leadership-Compensation"/>
                    <xsd:enumeration value="Executive Leadership-Bios &amp; Photos"/>
                    <xsd:enumeration value="Health/Healthy Living"/>
                    <xsd:enumeration value="Holidays"/>
                    <xsd:enumeration value="Hydrocarbons/ Feedstocks"/>
                    <xsd:enumeration value="IS/IT"/>
                    <xsd:enumeration value="Food"/>
                    <xsd:enumeration value="Gulf Stream"/>
                    <xsd:enumeration value="Government Affairs"/>
                    <xsd:enumeration value="HR"/>
                    <xsd:enumeration value="Innovation"/>
                    <xsd:enumeration value="Investor Relations"/>
                    <xsd:enumeration value="Issues/Legal"/>
                    <xsd:enumeration value="Issues/Legal -Agent Orange"/>
                    <xsd:enumeration value="Issues/Legal -Bhopal"/>
                    <xsd:enumeration value="Issues/Legal -BPA"/>
                    <xsd:enumeration value="Issues/Legal -Dioxin"/>
                    <xsd:enumeration value="Issues/Legal -Plant Safety"/>
                    <xsd:enumeration value="Latin America Region"/>
                    <xsd:enumeration value="Louisiana Operations"/>
                    <xsd:enumeration value="M&amp;A/JV"/>
                    <xsd:enumeration value="M&amp;E"/>
                    <xsd:enumeration value="Media Team"/>
                    <xsd:enumeration value="Media Training"/>
                    <xsd:enumeration value="Merger"/>
                    <xsd:enumeration value="Microbial Control"/>
                    <xsd:enumeration value="Michigan Operations"/>
                    <xsd:enumeration value="Middle East Region"/>
                    <xsd:enumeration value="Olympics"/>
                    <xsd:enumeration value="Operations"/>
                    <xsd:enumeration value="Packaging"/>
                    <xsd:enumeration value="Performance Monomers"/>
                    <xsd:enumeration value="Polyethylene"/>
                    <xsd:enumeration value="Polyurethanes"/>
                    <xsd:enumeration value="Sadara"/>
                    <xsd:enumeration value="Small North American Sites"/>
                    <xsd:enumeration value="Social Media"/>
                    <xsd:enumeration value="Sports"/>
                    <xsd:enumeration value="Supply Chain"/>
                    <xsd:enumeration value="Sustainability"/>
                    <xsd:enumeration value="STEM"/>
                    <xsd:enumeration value="Texas Operations"/>
                    <xsd:enumeration value="Teneo"/>
                    <xsd:enumeration value="Water"/>
                    <xsd:enumeration value="Weather"/>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5BD92-B749-48D9-8DCA-14F44AE9FE78}">
  <ds:schemaRefs>
    <ds:schemaRef ds:uri="http://schemas.microsoft.com/sharepoint/v3/contenttype/forms"/>
  </ds:schemaRefs>
</ds:datastoreItem>
</file>

<file path=customXml/itemProps2.xml><?xml version="1.0" encoding="utf-8"?>
<ds:datastoreItem xmlns:ds="http://schemas.openxmlformats.org/officeDocument/2006/customXml" ds:itemID="{CFB5A67B-1672-4366-8E1E-5F7C64A8B0E2}">
  <ds:schemaRefs>
    <ds:schemaRef ds:uri="http://schemas.microsoft.com/office/2006/metadata/properties"/>
    <ds:schemaRef ds:uri="http://schemas.microsoft.com/office/infopath/2007/PartnerControls"/>
    <ds:schemaRef ds:uri="9c948518-1c42-4e63-bc4f-6e2671cbdd71"/>
  </ds:schemaRefs>
</ds:datastoreItem>
</file>

<file path=customXml/itemProps3.xml><?xml version="1.0" encoding="utf-8"?>
<ds:datastoreItem xmlns:ds="http://schemas.openxmlformats.org/officeDocument/2006/customXml" ds:itemID="{015C6261-9B12-4E40-AD6D-F4D0DE349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48518-1c42-4e63-bc4f-6e2671cbdd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C59B1-1337-41CA-8F4A-659F09A83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New_Dow_News_Release_Template_2019-2</Template>
  <TotalTime>0</TotalTime>
  <Pages>2</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Dow News Release Template</vt:lpstr>
    </vt:vector>
  </TitlesOfParts>
  <Company>The Dow Chemical Company</Company>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Dow News Release Template</dc:title>
  <dc:creator>Guillaume Artois</dc:creator>
  <cp:lastModifiedBy>Boonsak Thienpaprarat</cp:lastModifiedBy>
  <cp:revision>2</cp:revision>
  <cp:lastPrinted>2019-09-04T08:29:00Z</cp:lastPrinted>
  <dcterms:created xsi:type="dcterms:W3CDTF">2019-09-06T09:49:00Z</dcterms:created>
  <dcterms:modified xsi:type="dcterms:W3CDTF">2019-09-06T09:49:00Z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0x0101004ABE3E7893A9DA48A21DF064F2002203</vt:lpwstr>
  </property>
  <property fmtid="{D5CDD505-2E9C-101B-9397-08002B2CF9AE}" pid="3" name="Content_Steward">
    <vt:lpwstr>Artois G u550464</vt:lpwstr>
  </property>
  <property fmtid="{D5CDD505-2E9C-101B-9397-08002B2CF9AE}" pid="4" name="Update_Footer">
    <vt:lpwstr>No</vt:lpwstr>
  </property>
  <property fmtid="{D5CDD505-2E9C-101B-9397-08002B2CF9AE}" pid="5" name="Radio_Button">
    <vt:lpwstr>RadioButton1</vt:lpwstr>
  </property>
  <property fmtid="{D5CDD505-2E9C-101B-9397-08002B2CF9AE}" pid="6" name="Information_Classification">
    <vt:lpwstr>NONE</vt:lpwstr>
  </property>
  <property fmtid="{D5CDD505-2E9C-101B-9397-08002B2CF9AE}" pid="7" name="Record_Title_ID">
    <vt:lpwstr>72</vt:lpwstr>
  </property>
  <property fmtid="{D5CDD505-2E9C-101B-9397-08002B2CF9AE}" pid="8" name="Initial_Creation_Date">
    <vt:filetime>2015-04-09T14:50:59Z</vt:filetime>
  </property>
  <property fmtid="{D5CDD505-2E9C-101B-9397-08002B2CF9AE}" pid="9" name="Retention_Period_Start_Date">
    <vt:filetime>2019-09-05T10:13:05Z</vt:filetime>
  </property>
  <property fmtid="{D5CDD505-2E9C-101B-9397-08002B2CF9AE}" pid="10" name="Last_Reviewed_Date">
    <vt:lpwstr/>
  </property>
  <property fmtid="{D5CDD505-2E9C-101B-9397-08002B2CF9AE}" pid="11" name="Retention_Review_Frequency">
    <vt:lpwstr/>
  </property>
  <property fmtid="{D5CDD505-2E9C-101B-9397-08002B2CF9AE}" pid="12" name="_NewReviewCycle">
    <vt:lpwstr/>
  </property>
</Properties>
</file>